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0B8F3" w14:textId="77777777" w:rsidR="00CC0A43" w:rsidRPr="004B073A" w:rsidRDefault="00CC0A43" w:rsidP="00836C2A">
      <w:pPr>
        <w:jc w:val="center"/>
        <w:rPr>
          <w:b/>
          <w:i/>
          <w:sz w:val="22"/>
        </w:rPr>
      </w:pPr>
    </w:p>
    <w:p w14:paraId="49840437" w14:textId="77777777" w:rsidR="00836C2A" w:rsidRDefault="00836C2A" w:rsidP="00836C2A">
      <w:pPr>
        <w:jc w:val="center"/>
        <w:rPr>
          <w:b/>
          <w:sz w:val="22"/>
        </w:rPr>
      </w:pPr>
      <w:r>
        <w:rPr>
          <w:b/>
          <w:sz w:val="22"/>
        </w:rPr>
        <w:t>LOUGHTON CEMETERY</w:t>
      </w:r>
    </w:p>
    <w:p w14:paraId="68A285D3" w14:textId="254CC2B1" w:rsidR="00836C2A" w:rsidRDefault="00836C2A" w:rsidP="00836C2A">
      <w:pPr>
        <w:jc w:val="center"/>
        <w:rPr>
          <w:b/>
          <w:sz w:val="22"/>
        </w:rPr>
      </w:pPr>
      <w:r>
        <w:rPr>
          <w:b/>
          <w:sz w:val="22"/>
        </w:rPr>
        <w:t xml:space="preserve">TABLE OF FEES AND CHARGES </w:t>
      </w:r>
      <w:r w:rsidR="001F5D4C">
        <w:rPr>
          <w:b/>
          <w:sz w:val="22"/>
        </w:rPr>
        <w:t>2021/22</w:t>
      </w:r>
    </w:p>
    <w:p w14:paraId="3DF4D34F" w14:textId="2A496309" w:rsidR="00EF3690" w:rsidRPr="00EF3690" w:rsidRDefault="006C3524" w:rsidP="00836C2A">
      <w:pPr>
        <w:jc w:val="center"/>
        <w:rPr>
          <w:sz w:val="22"/>
        </w:rPr>
      </w:pPr>
      <w:r>
        <w:rPr>
          <w:sz w:val="22"/>
        </w:rPr>
        <w:t>(1 April 20</w:t>
      </w:r>
      <w:r w:rsidR="001F5D4C">
        <w:rPr>
          <w:sz w:val="22"/>
        </w:rPr>
        <w:t>21</w:t>
      </w:r>
      <w:r w:rsidR="00EF3690" w:rsidRPr="00EF3690">
        <w:rPr>
          <w:sz w:val="22"/>
        </w:rPr>
        <w:t xml:space="preserve"> – 31 March 20</w:t>
      </w:r>
      <w:r>
        <w:rPr>
          <w:sz w:val="22"/>
        </w:rPr>
        <w:t>2</w:t>
      </w:r>
      <w:r w:rsidR="001F5D4C">
        <w:rPr>
          <w:sz w:val="22"/>
        </w:rPr>
        <w:t>2</w:t>
      </w:r>
      <w:r w:rsidR="00EF3690" w:rsidRPr="00EF3690">
        <w:rPr>
          <w:sz w:val="22"/>
        </w:rPr>
        <w:t>)</w:t>
      </w:r>
    </w:p>
    <w:p w14:paraId="745B4780" w14:textId="77777777" w:rsidR="00CC0A43" w:rsidRDefault="00836C2A" w:rsidP="00836C2A">
      <w:pPr>
        <w:ind w:left="5040" w:firstLine="720"/>
        <w:rPr>
          <w:b/>
          <w:sz w:val="22"/>
        </w:rPr>
      </w:pPr>
      <w:r>
        <w:rPr>
          <w:b/>
          <w:sz w:val="22"/>
        </w:rPr>
        <w:tab/>
        <w:t xml:space="preserve"> </w:t>
      </w:r>
    </w:p>
    <w:p w14:paraId="6CD2F67A" w14:textId="77777777" w:rsidR="00836C2A" w:rsidRDefault="00836C2A" w:rsidP="00836C2A">
      <w:pPr>
        <w:ind w:left="5040" w:firstLine="720"/>
        <w:rPr>
          <w:b/>
          <w:sz w:val="22"/>
        </w:rPr>
      </w:pPr>
      <w:r>
        <w:rPr>
          <w:b/>
          <w:sz w:val="22"/>
        </w:rPr>
        <w:t xml:space="preserve">      </w:t>
      </w:r>
      <w:r w:rsidR="000864FD">
        <w:rPr>
          <w:b/>
          <w:sz w:val="22"/>
        </w:rPr>
        <w:tab/>
        <w:t xml:space="preserve">       </w:t>
      </w:r>
      <w:r>
        <w:rPr>
          <w:b/>
          <w:sz w:val="22"/>
        </w:rPr>
        <w:t xml:space="preserve"> </w:t>
      </w:r>
    </w:p>
    <w:tbl>
      <w:tblPr>
        <w:tblW w:w="0" w:type="auto"/>
        <w:tblLayout w:type="fixed"/>
        <w:tblLook w:val="0000" w:firstRow="0" w:lastRow="0" w:firstColumn="0" w:lastColumn="0" w:noHBand="0" w:noVBand="0"/>
      </w:tblPr>
      <w:tblGrid>
        <w:gridCol w:w="6629"/>
        <w:gridCol w:w="992"/>
        <w:gridCol w:w="94"/>
        <w:gridCol w:w="1040"/>
        <w:gridCol w:w="47"/>
        <w:gridCol w:w="1087"/>
      </w:tblGrid>
      <w:tr w:rsidR="00004A16" w14:paraId="40CACDE9" w14:textId="77777777">
        <w:tc>
          <w:tcPr>
            <w:tcW w:w="6629" w:type="dxa"/>
          </w:tcPr>
          <w:p w14:paraId="7446A59F" w14:textId="77777777" w:rsidR="00004A16" w:rsidRDefault="00004A16" w:rsidP="00836C2A">
            <w:pPr>
              <w:ind w:left="720" w:hanging="720"/>
              <w:rPr>
                <w:b/>
                <w:sz w:val="22"/>
              </w:rPr>
            </w:pPr>
            <w:r>
              <w:rPr>
                <w:b/>
                <w:sz w:val="22"/>
              </w:rPr>
              <w:t>1        Purchase of Grave Spaces/Plots for Cremated Remains</w:t>
            </w:r>
          </w:p>
        </w:tc>
        <w:tc>
          <w:tcPr>
            <w:tcW w:w="1086" w:type="dxa"/>
            <w:gridSpan w:val="2"/>
            <w:vAlign w:val="center"/>
          </w:tcPr>
          <w:p w14:paraId="554CB5FA" w14:textId="77777777" w:rsidR="00004A16" w:rsidRDefault="00004A16" w:rsidP="00652A0A">
            <w:pPr>
              <w:jc w:val="center"/>
              <w:rPr>
                <w:b/>
                <w:sz w:val="22"/>
              </w:rPr>
            </w:pPr>
          </w:p>
        </w:tc>
        <w:tc>
          <w:tcPr>
            <w:tcW w:w="1087" w:type="dxa"/>
            <w:gridSpan w:val="2"/>
            <w:vAlign w:val="center"/>
          </w:tcPr>
          <w:p w14:paraId="7AEE2357" w14:textId="77777777" w:rsidR="00004A16" w:rsidRDefault="00004A16" w:rsidP="00652A0A">
            <w:pPr>
              <w:jc w:val="center"/>
              <w:rPr>
                <w:b/>
                <w:sz w:val="22"/>
              </w:rPr>
            </w:pPr>
          </w:p>
        </w:tc>
        <w:tc>
          <w:tcPr>
            <w:tcW w:w="1087" w:type="dxa"/>
            <w:vAlign w:val="center"/>
          </w:tcPr>
          <w:p w14:paraId="1CCEB38C" w14:textId="77777777" w:rsidR="00004A16" w:rsidRDefault="00004A16" w:rsidP="00652A0A">
            <w:pPr>
              <w:jc w:val="center"/>
              <w:rPr>
                <w:b/>
                <w:sz w:val="22"/>
              </w:rPr>
            </w:pPr>
          </w:p>
        </w:tc>
      </w:tr>
      <w:tr w:rsidR="00004A16" w14:paraId="55A1E5FB" w14:textId="77777777">
        <w:tc>
          <w:tcPr>
            <w:tcW w:w="6629" w:type="dxa"/>
          </w:tcPr>
          <w:p w14:paraId="3F4A4B7F" w14:textId="77777777" w:rsidR="00004A16" w:rsidRDefault="00004A16" w:rsidP="00836C2A">
            <w:pPr>
              <w:ind w:left="720" w:hanging="720"/>
              <w:rPr>
                <w:sz w:val="22"/>
              </w:rPr>
            </w:pPr>
          </w:p>
        </w:tc>
        <w:tc>
          <w:tcPr>
            <w:tcW w:w="1086" w:type="dxa"/>
            <w:gridSpan w:val="2"/>
            <w:vAlign w:val="center"/>
          </w:tcPr>
          <w:p w14:paraId="203F1789" w14:textId="77777777" w:rsidR="00004A16" w:rsidRDefault="00004A16" w:rsidP="00004A16">
            <w:pPr>
              <w:ind w:right="-168" w:hanging="84"/>
              <w:jc w:val="center"/>
              <w:rPr>
                <w:b/>
                <w:sz w:val="20"/>
              </w:rPr>
            </w:pPr>
            <w:r>
              <w:rPr>
                <w:b/>
                <w:sz w:val="20"/>
              </w:rPr>
              <w:t>Loughton</w:t>
            </w:r>
          </w:p>
          <w:p w14:paraId="2F76B8CA" w14:textId="77777777" w:rsidR="00004A16" w:rsidRPr="00004A16" w:rsidRDefault="00004A16" w:rsidP="00004A16">
            <w:pPr>
              <w:ind w:right="-168" w:hanging="84"/>
              <w:jc w:val="center"/>
              <w:rPr>
                <w:b/>
                <w:sz w:val="20"/>
              </w:rPr>
            </w:pPr>
            <w:r>
              <w:rPr>
                <w:b/>
                <w:sz w:val="20"/>
              </w:rPr>
              <w:t>residents</w:t>
            </w:r>
          </w:p>
        </w:tc>
        <w:tc>
          <w:tcPr>
            <w:tcW w:w="1087" w:type="dxa"/>
            <w:gridSpan w:val="2"/>
            <w:vAlign w:val="center"/>
          </w:tcPr>
          <w:p w14:paraId="789BE4F0" w14:textId="77777777" w:rsidR="00004A16" w:rsidRDefault="00004A16" w:rsidP="00004A16">
            <w:pPr>
              <w:ind w:right="-203" w:hanging="48"/>
              <w:rPr>
                <w:b/>
                <w:sz w:val="20"/>
              </w:rPr>
            </w:pPr>
            <w:r>
              <w:rPr>
                <w:b/>
                <w:sz w:val="20"/>
              </w:rPr>
              <w:t xml:space="preserve">Buckhurst  </w:t>
            </w:r>
          </w:p>
          <w:p w14:paraId="0FAAB6F0" w14:textId="77777777" w:rsidR="00004A16" w:rsidRPr="00004A16" w:rsidRDefault="00004A16" w:rsidP="00004A16">
            <w:pPr>
              <w:ind w:right="-203" w:hanging="48"/>
              <w:rPr>
                <w:b/>
                <w:sz w:val="20"/>
              </w:rPr>
            </w:pPr>
            <w:r>
              <w:rPr>
                <w:b/>
                <w:sz w:val="20"/>
              </w:rPr>
              <w:t xml:space="preserve">    Hill &amp; Chigwell</w:t>
            </w:r>
          </w:p>
        </w:tc>
        <w:tc>
          <w:tcPr>
            <w:tcW w:w="1087" w:type="dxa"/>
            <w:vAlign w:val="center"/>
          </w:tcPr>
          <w:p w14:paraId="2338D075" w14:textId="77777777" w:rsidR="00004A16" w:rsidRPr="00004A16" w:rsidRDefault="00004A16" w:rsidP="00004A16">
            <w:pPr>
              <w:tabs>
                <w:tab w:val="left" w:pos="1109"/>
              </w:tabs>
              <w:ind w:left="-13" w:right="-51" w:hanging="13"/>
              <w:jc w:val="center"/>
              <w:rPr>
                <w:b/>
                <w:sz w:val="20"/>
              </w:rPr>
            </w:pPr>
            <w:r>
              <w:rPr>
                <w:b/>
                <w:sz w:val="20"/>
              </w:rPr>
              <w:t>Non-residents</w:t>
            </w:r>
          </w:p>
        </w:tc>
      </w:tr>
      <w:tr w:rsidR="00004A16" w14:paraId="7828D0E8" w14:textId="77777777">
        <w:tc>
          <w:tcPr>
            <w:tcW w:w="6629" w:type="dxa"/>
          </w:tcPr>
          <w:p w14:paraId="3F00A0FB" w14:textId="77777777" w:rsidR="00004A16" w:rsidRDefault="00004A16" w:rsidP="00836C2A">
            <w:pPr>
              <w:ind w:left="720" w:hanging="720"/>
              <w:rPr>
                <w:sz w:val="22"/>
              </w:rPr>
            </w:pPr>
          </w:p>
        </w:tc>
        <w:tc>
          <w:tcPr>
            <w:tcW w:w="1086" w:type="dxa"/>
            <w:gridSpan w:val="2"/>
            <w:vAlign w:val="center"/>
          </w:tcPr>
          <w:p w14:paraId="162C8C03" w14:textId="77777777" w:rsidR="00004A16" w:rsidRPr="00004A16" w:rsidRDefault="00004A16" w:rsidP="00652A0A">
            <w:pPr>
              <w:jc w:val="center"/>
              <w:rPr>
                <w:b/>
                <w:sz w:val="22"/>
              </w:rPr>
            </w:pPr>
            <w:r>
              <w:rPr>
                <w:b/>
                <w:sz w:val="22"/>
              </w:rPr>
              <w:t>£</w:t>
            </w:r>
          </w:p>
        </w:tc>
        <w:tc>
          <w:tcPr>
            <w:tcW w:w="1087" w:type="dxa"/>
            <w:gridSpan w:val="2"/>
            <w:vAlign w:val="center"/>
          </w:tcPr>
          <w:p w14:paraId="460405DD" w14:textId="77777777" w:rsidR="00004A16" w:rsidRDefault="00004A16" w:rsidP="00652A0A">
            <w:pPr>
              <w:jc w:val="center"/>
              <w:rPr>
                <w:sz w:val="22"/>
              </w:rPr>
            </w:pPr>
            <w:r>
              <w:rPr>
                <w:b/>
                <w:sz w:val="22"/>
              </w:rPr>
              <w:t>£</w:t>
            </w:r>
          </w:p>
        </w:tc>
        <w:tc>
          <w:tcPr>
            <w:tcW w:w="1087" w:type="dxa"/>
            <w:vAlign w:val="center"/>
          </w:tcPr>
          <w:p w14:paraId="2361C0A9" w14:textId="77777777" w:rsidR="00004A16" w:rsidRDefault="00004A16" w:rsidP="00652A0A">
            <w:pPr>
              <w:jc w:val="center"/>
              <w:rPr>
                <w:sz w:val="22"/>
              </w:rPr>
            </w:pPr>
            <w:r>
              <w:rPr>
                <w:b/>
                <w:sz w:val="22"/>
              </w:rPr>
              <w:t>£</w:t>
            </w:r>
          </w:p>
        </w:tc>
      </w:tr>
      <w:tr w:rsidR="00652A0A" w14:paraId="4D331F34" w14:textId="77777777">
        <w:tc>
          <w:tcPr>
            <w:tcW w:w="6629" w:type="dxa"/>
          </w:tcPr>
          <w:p w14:paraId="50E3595A" w14:textId="77777777" w:rsidR="00652A0A" w:rsidRDefault="00652A0A" w:rsidP="00836C2A">
            <w:pPr>
              <w:ind w:left="720" w:hanging="720"/>
              <w:rPr>
                <w:sz w:val="22"/>
              </w:rPr>
            </w:pPr>
            <w:r>
              <w:rPr>
                <w:sz w:val="22"/>
              </w:rPr>
              <w:t>a)        Purchase of Exclusive Rights of Burial in a grave space:  There are no further grave spaces available for purchase.  Existing ownership includes the right to place on the grave an inscribed upright or horizontal memorial of materials and dimensions as specified in the Regulations.</w:t>
            </w:r>
          </w:p>
          <w:p w14:paraId="3CE7C250" w14:textId="77777777" w:rsidR="00652A0A" w:rsidRDefault="00652A0A" w:rsidP="00836C2A">
            <w:pPr>
              <w:ind w:left="720" w:hanging="720"/>
              <w:rPr>
                <w:sz w:val="22"/>
              </w:rPr>
            </w:pPr>
          </w:p>
        </w:tc>
        <w:tc>
          <w:tcPr>
            <w:tcW w:w="3260" w:type="dxa"/>
            <w:gridSpan w:val="5"/>
            <w:vAlign w:val="center"/>
          </w:tcPr>
          <w:p w14:paraId="22165121" w14:textId="77777777" w:rsidR="00652A0A" w:rsidRDefault="00652A0A" w:rsidP="00652A0A">
            <w:pPr>
              <w:jc w:val="center"/>
              <w:rPr>
                <w:sz w:val="22"/>
              </w:rPr>
            </w:pPr>
            <w:r>
              <w:rPr>
                <w:sz w:val="22"/>
              </w:rPr>
              <w:t>n/a</w:t>
            </w:r>
          </w:p>
        </w:tc>
      </w:tr>
      <w:tr w:rsidR="00652A0A" w14:paraId="3B5BD265" w14:textId="77777777">
        <w:tc>
          <w:tcPr>
            <w:tcW w:w="9889" w:type="dxa"/>
            <w:gridSpan w:val="6"/>
          </w:tcPr>
          <w:p w14:paraId="3D40DAEB" w14:textId="77777777" w:rsidR="00E1069C" w:rsidRDefault="00E1069C" w:rsidP="00E1069C">
            <w:pPr>
              <w:ind w:left="748" w:hanging="748"/>
              <w:jc w:val="both"/>
              <w:rPr>
                <w:sz w:val="22"/>
              </w:rPr>
            </w:pPr>
            <w:r>
              <w:rPr>
                <w:sz w:val="22"/>
              </w:rPr>
              <w:t xml:space="preserve">(b)     </w:t>
            </w:r>
            <w:r w:rsidR="00652A0A">
              <w:rPr>
                <w:sz w:val="22"/>
              </w:rPr>
              <w:t>Purchase of Exclusive Rights of Burial in a plot for cremated remains includes the right to place on the plot a horizontal plaque of materials and dimensions as specified in the Regulations.</w:t>
            </w:r>
            <w:r>
              <w:rPr>
                <w:sz w:val="22"/>
              </w:rPr>
              <w:t xml:space="preserve">  New and existing owners of the Exclusive Rights of Burial in a cremated remains plot may extend their period of ownership in increments of 5 years at the pro rata rate in force at that time </w:t>
            </w:r>
            <w:r w:rsidR="000864FD">
              <w:rPr>
                <w:sz w:val="22"/>
              </w:rPr>
              <w:t>provided</w:t>
            </w:r>
            <w:r>
              <w:rPr>
                <w:sz w:val="22"/>
              </w:rPr>
              <w:t xml:space="preserve"> that their period of ownership at any one time never exceeds 25 years.</w:t>
            </w:r>
          </w:p>
          <w:p w14:paraId="7C1B38B8" w14:textId="77777777" w:rsidR="00652A0A" w:rsidRDefault="00652A0A" w:rsidP="00836C2A">
            <w:pPr>
              <w:jc w:val="right"/>
              <w:rPr>
                <w:sz w:val="22"/>
              </w:rPr>
            </w:pPr>
          </w:p>
        </w:tc>
      </w:tr>
      <w:tr w:rsidR="00836C2A" w14:paraId="1BF06234" w14:textId="77777777">
        <w:tc>
          <w:tcPr>
            <w:tcW w:w="6629" w:type="dxa"/>
          </w:tcPr>
          <w:p w14:paraId="4CA347BB" w14:textId="77777777" w:rsidR="00836C2A" w:rsidRDefault="00836C2A" w:rsidP="00E1069C">
            <w:pPr>
              <w:tabs>
                <w:tab w:val="left" w:pos="737"/>
              </w:tabs>
              <w:ind w:left="720" w:hanging="720"/>
              <w:rPr>
                <w:sz w:val="22"/>
              </w:rPr>
            </w:pPr>
            <w:r>
              <w:rPr>
                <w:sz w:val="22"/>
              </w:rPr>
              <w:t xml:space="preserve">(i)        </w:t>
            </w:r>
            <w:r w:rsidR="00E1069C">
              <w:rPr>
                <w:sz w:val="22"/>
              </w:rPr>
              <w:t xml:space="preserve"> </w:t>
            </w:r>
            <w:r>
              <w:rPr>
                <w:sz w:val="22"/>
              </w:rPr>
              <w:t>Purchase of Exclusive Rights of Burial for a period of 25 years in a plot for cremated remains, for a maximum of 4 interments.</w:t>
            </w:r>
          </w:p>
          <w:p w14:paraId="2F039F03" w14:textId="77777777" w:rsidR="00E1069C" w:rsidRDefault="00E1069C" w:rsidP="00836C2A">
            <w:pPr>
              <w:ind w:left="720" w:hanging="720"/>
              <w:rPr>
                <w:sz w:val="22"/>
              </w:rPr>
            </w:pPr>
          </w:p>
          <w:p w14:paraId="38F7F3E8" w14:textId="77777777" w:rsidR="00E1069C" w:rsidRDefault="001534A0" w:rsidP="00E1069C">
            <w:pPr>
              <w:ind w:left="720" w:firstLine="28"/>
              <w:rPr>
                <w:sz w:val="22"/>
              </w:rPr>
            </w:pPr>
            <w:r>
              <w:rPr>
                <w:sz w:val="22"/>
              </w:rPr>
              <w:t>Extension of a</w:t>
            </w:r>
            <w:r w:rsidR="000864FD">
              <w:rPr>
                <w:sz w:val="22"/>
              </w:rPr>
              <w:t xml:space="preserve"> period of EROB by 5 year</w:t>
            </w:r>
            <w:r>
              <w:rPr>
                <w:sz w:val="22"/>
              </w:rPr>
              <w:t>s</w:t>
            </w:r>
            <w:r w:rsidR="000864FD">
              <w:rPr>
                <w:sz w:val="22"/>
              </w:rPr>
              <w:t xml:space="preserve"> (4 </w:t>
            </w:r>
            <w:r w:rsidR="00993B26">
              <w:rPr>
                <w:sz w:val="22"/>
              </w:rPr>
              <w:t xml:space="preserve">or more </w:t>
            </w:r>
            <w:r w:rsidR="000864FD">
              <w:rPr>
                <w:sz w:val="22"/>
              </w:rPr>
              <w:t>interments)</w:t>
            </w:r>
          </w:p>
          <w:p w14:paraId="1B54DF81" w14:textId="77777777" w:rsidR="00836C2A" w:rsidRDefault="00836C2A" w:rsidP="00836C2A">
            <w:pPr>
              <w:ind w:left="720" w:hanging="720"/>
              <w:rPr>
                <w:sz w:val="22"/>
              </w:rPr>
            </w:pPr>
            <w:r>
              <w:rPr>
                <w:sz w:val="22"/>
              </w:rPr>
              <w:t xml:space="preserve"> </w:t>
            </w:r>
          </w:p>
        </w:tc>
        <w:tc>
          <w:tcPr>
            <w:tcW w:w="992" w:type="dxa"/>
          </w:tcPr>
          <w:p w14:paraId="220F11A3" w14:textId="04CC8A52" w:rsidR="00836C2A" w:rsidRPr="00343ACD" w:rsidRDefault="001F5D4C" w:rsidP="00836C2A">
            <w:pPr>
              <w:jc w:val="right"/>
              <w:rPr>
                <w:sz w:val="22"/>
              </w:rPr>
            </w:pPr>
            <w:r w:rsidRPr="00343ACD">
              <w:rPr>
                <w:sz w:val="22"/>
              </w:rPr>
              <w:t>60</w:t>
            </w:r>
            <w:r w:rsidR="003660FC" w:rsidRPr="00343ACD">
              <w:rPr>
                <w:sz w:val="22"/>
              </w:rPr>
              <w:t>7</w:t>
            </w:r>
            <w:r w:rsidRPr="00343ACD">
              <w:rPr>
                <w:sz w:val="22"/>
              </w:rPr>
              <w:t>.00</w:t>
            </w:r>
          </w:p>
          <w:p w14:paraId="37244F6A" w14:textId="77777777" w:rsidR="000864FD" w:rsidRPr="00343ACD" w:rsidRDefault="000864FD" w:rsidP="00836C2A">
            <w:pPr>
              <w:jc w:val="right"/>
              <w:rPr>
                <w:sz w:val="22"/>
              </w:rPr>
            </w:pPr>
          </w:p>
          <w:p w14:paraId="07076E00" w14:textId="77777777" w:rsidR="000864FD" w:rsidRPr="00343ACD" w:rsidRDefault="000864FD" w:rsidP="00836C2A">
            <w:pPr>
              <w:jc w:val="right"/>
              <w:rPr>
                <w:sz w:val="22"/>
              </w:rPr>
            </w:pPr>
          </w:p>
          <w:p w14:paraId="4313BD55" w14:textId="77777777" w:rsidR="000864FD" w:rsidRPr="00343ACD" w:rsidRDefault="000864FD" w:rsidP="00836C2A">
            <w:pPr>
              <w:jc w:val="right"/>
              <w:rPr>
                <w:sz w:val="22"/>
              </w:rPr>
            </w:pPr>
          </w:p>
          <w:p w14:paraId="67533CB8" w14:textId="30F5DD22" w:rsidR="000864FD" w:rsidRPr="00343ACD" w:rsidRDefault="003660FC" w:rsidP="00A6031C">
            <w:pPr>
              <w:jc w:val="right"/>
              <w:rPr>
                <w:sz w:val="22"/>
              </w:rPr>
            </w:pPr>
            <w:r w:rsidRPr="00343ACD">
              <w:rPr>
                <w:sz w:val="22"/>
              </w:rPr>
              <w:t>12</w:t>
            </w:r>
            <w:r w:rsidR="00363DFC" w:rsidRPr="00343ACD">
              <w:rPr>
                <w:sz w:val="22"/>
              </w:rPr>
              <w:t>5</w:t>
            </w:r>
            <w:r w:rsidRPr="00343ACD">
              <w:rPr>
                <w:sz w:val="22"/>
              </w:rPr>
              <w:t>.00</w:t>
            </w:r>
          </w:p>
        </w:tc>
        <w:tc>
          <w:tcPr>
            <w:tcW w:w="1134" w:type="dxa"/>
            <w:gridSpan w:val="2"/>
          </w:tcPr>
          <w:p w14:paraId="7F4D4CAF" w14:textId="379F8095" w:rsidR="00836C2A" w:rsidRPr="00343ACD" w:rsidRDefault="00363DFC" w:rsidP="00836C2A">
            <w:pPr>
              <w:jc w:val="right"/>
              <w:rPr>
                <w:sz w:val="22"/>
              </w:rPr>
            </w:pPr>
            <w:r w:rsidRPr="00343ACD">
              <w:rPr>
                <w:sz w:val="22"/>
              </w:rPr>
              <w:t>1,214.00</w:t>
            </w:r>
          </w:p>
          <w:p w14:paraId="5383E0B7" w14:textId="77777777" w:rsidR="005354CF" w:rsidRPr="00343ACD" w:rsidRDefault="005354CF" w:rsidP="00836C2A">
            <w:pPr>
              <w:jc w:val="right"/>
              <w:rPr>
                <w:sz w:val="22"/>
              </w:rPr>
            </w:pPr>
          </w:p>
          <w:p w14:paraId="0550B229" w14:textId="77777777" w:rsidR="005354CF" w:rsidRPr="00343ACD" w:rsidRDefault="005354CF" w:rsidP="00836C2A">
            <w:pPr>
              <w:jc w:val="right"/>
              <w:rPr>
                <w:sz w:val="22"/>
              </w:rPr>
            </w:pPr>
          </w:p>
          <w:p w14:paraId="03CF9508" w14:textId="77777777" w:rsidR="005354CF" w:rsidRPr="00343ACD" w:rsidRDefault="005354CF" w:rsidP="00836C2A">
            <w:pPr>
              <w:jc w:val="right"/>
              <w:rPr>
                <w:sz w:val="22"/>
              </w:rPr>
            </w:pPr>
          </w:p>
          <w:p w14:paraId="4D9507FB" w14:textId="0284353C" w:rsidR="005354CF" w:rsidRPr="00343ACD" w:rsidRDefault="00363DFC" w:rsidP="00A6031C">
            <w:pPr>
              <w:jc w:val="right"/>
              <w:rPr>
                <w:sz w:val="22"/>
              </w:rPr>
            </w:pPr>
            <w:r w:rsidRPr="00343ACD">
              <w:rPr>
                <w:sz w:val="22"/>
              </w:rPr>
              <w:t>250.00</w:t>
            </w:r>
          </w:p>
        </w:tc>
        <w:tc>
          <w:tcPr>
            <w:tcW w:w="1134" w:type="dxa"/>
            <w:gridSpan w:val="2"/>
          </w:tcPr>
          <w:p w14:paraId="69600B3D" w14:textId="1D29575B" w:rsidR="00836C2A" w:rsidRPr="00343ACD" w:rsidRDefault="00CC0A43" w:rsidP="00836C2A">
            <w:pPr>
              <w:jc w:val="right"/>
              <w:rPr>
                <w:sz w:val="22"/>
              </w:rPr>
            </w:pPr>
            <w:r w:rsidRPr="00343ACD">
              <w:rPr>
                <w:sz w:val="22"/>
              </w:rPr>
              <w:t>1</w:t>
            </w:r>
            <w:r w:rsidR="007204A8" w:rsidRPr="00343ACD">
              <w:rPr>
                <w:sz w:val="22"/>
              </w:rPr>
              <w:t>,8</w:t>
            </w:r>
            <w:r w:rsidR="001F5D4C" w:rsidRPr="00343ACD">
              <w:rPr>
                <w:sz w:val="22"/>
              </w:rPr>
              <w:t>2</w:t>
            </w:r>
            <w:r w:rsidR="00363DFC" w:rsidRPr="00343ACD">
              <w:rPr>
                <w:sz w:val="22"/>
              </w:rPr>
              <w:t>1</w:t>
            </w:r>
            <w:r w:rsidRPr="00343ACD">
              <w:rPr>
                <w:sz w:val="22"/>
              </w:rPr>
              <w:t>.00</w:t>
            </w:r>
          </w:p>
          <w:p w14:paraId="249C01F2" w14:textId="77777777" w:rsidR="005354CF" w:rsidRPr="00343ACD" w:rsidRDefault="005354CF" w:rsidP="00836C2A">
            <w:pPr>
              <w:jc w:val="right"/>
              <w:rPr>
                <w:sz w:val="22"/>
              </w:rPr>
            </w:pPr>
          </w:p>
          <w:p w14:paraId="10037224" w14:textId="77777777" w:rsidR="005354CF" w:rsidRPr="00343ACD" w:rsidRDefault="005354CF" w:rsidP="00836C2A">
            <w:pPr>
              <w:jc w:val="right"/>
              <w:rPr>
                <w:sz w:val="22"/>
              </w:rPr>
            </w:pPr>
          </w:p>
          <w:p w14:paraId="6F3E7EA8" w14:textId="77777777" w:rsidR="005354CF" w:rsidRPr="00343ACD" w:rsidRDefault="005354CF" w:rsidP="00836C2A">
            <w:pPr>
              <w:jc w:val="right"/>
              <w:rPr>
                <w:sz w:val="22"/>
              </w:rPr>
            </w:pPr>
          </w:p>
          <w:p w14:paraId="4B8DD9FB" w14:textId="373CE095" w:rsidR="005354CF" w:rsidRPr="00343ACD" w:rsidRDefault="00343ACD" w:rsidP="00A6031C">
            <w:pPr>
              <w:jc w:val="right"/>
              <w:rPr>
                <w:sz w:val="22"/>
              </w:rPr>
            </w:pPr>
            <w:r>
              <w:rPr>
                <w:sz w:val="22"/>
              </w:rPr>
              <w:t>375.00</w:t>
            </w:r>
          </w:p>
        </w:tc>
      </w:tr>
      <w:tr w:rsidR="00836C2A" w14:paraId="6CB28993" w14:textId="77777777">
        <w:tc>
          <w:tcPr>
            <w:tcW w:w="6629" w:type="dxa"/>
          </w:tcPr>
          <w:p w14:paraId="6FF42D92" w14:textId="77777777" w:rsidR="00836C2A" w:rsidRDefault="00836C2A" w:rsidP="00E1069C">
            <w:pPr>
              <w:tabs>
                <w:tab w:val="left" w:pos="737"/>
              </w:tabs>
              <w:ind w:left="720" w:hanging="720"/>
              <w:rPr>
                <w:sz w:val="22"/>
              </w:rPr>
            </w:pPr>
            <w:r>
              <w:rPr>
                <w:sz w:val="22"/>
              </w:rPr>
              <w:t xml:space="preserve">(ii)       </w:t>
            </w:r>
            <w:r w:rsidR="00E1069C">
              <w:rPr>
                <w:sz w:val="22"/>
              </w:rPr>
              <w:t xml:space="preserve"> </w:t>
            </w:r>
            <w:r>
              <w:rPr>
                <w:sz w:val="22"/>
              </w:rPr>
              <w:t>Purchase of Exclusive Rights of Burial for a period of 25 years in a plot for cremated remains, for a maximum of 2 interments.</w:t>
            </w:r>
          </w:p>
          <w:p w14:paraId="05851B3A" w14:textId="77777777" w:rsidR="005354CF" w:rsidRDefault="005354CF" w:rsidP="00E1069C">
            <w:pPr>
              <w:tabs>
                <w:tab w:val="left" w:pos="737"/>
              </w:tabs>
              <w:ind w:left="720" w:hanging="720"/>
              <w:rPr>
                <w:sz w:val="22"/>
              </w:rPr>
            </w:pPr>
          </w:p>
          <w:p w14:paraId="5E7223CF" w14:textId="77777777" w:rsidR="005354CF" w:rsidRDefault="001534A0" w:rsidP="005354CF">
            <w:pPr>
              <w:ind w:left="720" w:firstLine="28"/>
              <w:rPr>
                <w:sz w:val="22"/>
              </w:rPr>
            </w:pPr>
            <w:r>
              <w:rPr>
                <w:sz w:val="22"/>
              </w:rPr>
              <w:t>Extension of a</w:t>
            </w:r>
            <w:r w:rsidR="005354CF">
              <w:rPr>
                <w:sz w:val="22"/>
              </w:rPr>
              <w:t xml:space="preserve"> period of EROB by 5 year</w:t>
            </w:r>
            <w:r>
              <w:rPr>
                <w:sz w:val="22"/>
              </w:rPr>
              <w:t>s</w:t>
            </w:r>
            <w:r w:rsidR="005354CF">
              <w:rPr>
                <w:sz w:val="22"/>
              </w:rPr>
              <w:t xml:space="preserve"> (2 interments)</w:t>
            </w:r>
          </w:p>
          <w:p w14:paraId="5BD4AEB0" w14:textId="77777777" w:rsidR="00836C2A" w:rsidRDefault="00836C2A" w:rsidP="00836C2A">
            <w:pPr>
              <w:ind w:left="720" w:hanging="720"/>
              <w:rPr>
                <w:sz w:val="22"/>
              </w:rPr>
            </w:pPr>
          </w:p>
        </w:tc>
        <w:tc>
          <w:tcPr>
            <w:tcW w:w="992" w:type="dxa"/>
          </w:tcPr>
          <w:p w14:paraId="093E84C3" w14:textId="2D5F4F5B" w:rsidR="00836C2A" w:rsidRPr="00343ACD" w:rsidRDefault="003660FC" w:rsidP="00836C2A">
            <w:pPr>
              <w:jc w:val="right"/>
              <w:rPr>
                <w:sz w:val="22"/>
              </w:rPr>
            </w:pPr>
            <w:r w:rsidRPr="00343ACD">
              <w:rPr>
                <w:sz w:val="22"/>
              </w:rPr>
              <w:t>50</w:t>
            </w:r>
            <w:r w:rsidR="00363DFC" w:rsidRPr="00343ACD">
              <w:rPr>
                <w:sz w:val="22"/>
              </w:rPr>
              <w:t>7</w:t>
            </w:r>
            <w:r w:rsidRPr="00343ACD">
              <w:rPr>
                <w:sz w:val="22"/>
              </w:rPr>
              <w:t>.00</w:t>
            </w:r>
          </w:p>
          <w:p w14:paraId="3E77D2C1" w14:textId="77777777" w:rsidR="005354CF" w:rsidRPr="00343ACD" w:rsidRDefault="005354CF" w:rsidP="00836C2A">
            <w:pPr>
              <w:jc w:val="right"/>
              <w:rPr>
                <w:sz w:val="22"/>
              </w:rPr>
            </w:pPr>
          </w:p>
          <w:p w14:paraId="15DD0C82" w14:textId="77777777" w:rsidR="005354CF" w:rsidRPr="00343ACD" w:rsidRDefault="005354CF" w:rsidP="00836C2A">
            <w:pPr>
              <w:jc w:val="right"/>
              <w:rPr>
                <w:sz w:val="22"/>
              </w:rPr>
            </w:pPr>
          </w:p>
          <w:p w14:paraId="5C359B43" w14:textId="77777777" w:rsidR="005354CF" w:rsidRPr="00343ACD" w:rsidRDefault="005354CF" w:rsidP="00836C2A">
            <w:pPr>
              <w:jc w:val="right"/>
              <w:rPr>
                <w:sz w:val="22"/>
              </w:rPr>
            </w:pPr>
          </w:p>
          <w:p w14:paraId="0F92307C" w14:textId="791FBE08" w:rsidR="005354CF" w:rsidRPr="00343ACD" w:rsidRDefault="006F012B" w:rsidP="00A97C34">
            <w:pPr>
              <w:jc w:val="right"/>
              <w:rPr>
                <w:sz w:val="22"/>
              </w:rPr>
            </w:pPr>
            <w:r w:rsidRPr="00343ACD">
              <w:rPr>
                <w:sz w:val="22"/>
              </w:rPr>
              <w:t>105.00</w:t>
            </w:r>
          </w:p>
        </w:tc>
        <w:tc>
          <w:tcPr>
            <w:tcW w:w="1134" w:type="dxa"/>
            <w:gridSpan w:val="2"/>
          </w:tcPr>
          <w:p w14:paraId="765AC209" w14:textId="2009185B" w:rsidR="00836C2A" w:rsidRPr="00343ACD" w:rsidRDefault="007204A8" w:rsidP="00836C2A">
            <w:pPr>
              <w:jc w:val="right"/>
              <w:rPr>
                <w:sz w:val="22"/>
              </w:rPr>
            </w:pPr>
            <w:r w:rsidRPr="00343ACD">
              <w:rPr>
                <w:sz w:val="22"/>
              </w:rPr>
              <w:t>1</w:t>
            </w:r>
            <w:r w:rsidR="00363DFC" w:rsidRPr="00343ACD">
              <w:rPr>
                <w:sz w:val="22"/>
              </w:rPr>
              <w:t>,014.00</w:t>
            </w:r>
          </w:p>
          <w:p w14:paraId="12D2CDEE" w14:textId="77777777" w:rsidR="005354CF" w:rsidRPr="00343ACD" w:rsidRDefault="005354CF" w:rsidP="00836C2A">
            <w:pPr>
              <w:jc w:val="right"/>
              <w:rPr>
                <w:sz w:val="22"/>
              </w:rPr>
            </w:pPr>
          </w:p>
          <w:p w14:paraId="3C32E446" w14:textId="77777777" w:rsidR="005354CF" w:rsidRPr="00343ACD" w:rsidRDefault="005354CF" w:rsidP="00836C2A">
            <w:pPr>
              <w:jc w:val="right"/>
              <w:rPr>
                <w:sz w:val="22"/>
              </w:rPr>
            </w:pPr>
          </w:p>
          <w:p w14:paraId="076C2FD8" w14:textId="77777777" w:rsidR="005354CF" w:rsidRPr="00343ACD" w:rsidRDefault="005354CF" w:rsidP="00836C2A">
            <w:pPr>
              <w:jc w:val="right"/>
              <w:rPr>
                <w:sz w:val="22"/>
              </w:rPr>
            </w:pPr>
          </w:p>
          <w:p w14:paraId="5C741FD9" w14:textId="589772F3" w:rsidR="005354CF" w:rsidRPr="00343ACD" w:rsidRDefault="00363DFC" w:rsidP="00A97C34">
            <w:pPr>
              <w:jc w:val="right"/>
              <w:rPr>
                <w:sz w:val="22"/>
              </w:rPr>
            </w:pPr>
            <w:r w:rsidRPr="00343ACD">
              <w:rPr>
                <w:sz w:val="22"/>
              </w:rPr>
              <w:t>210.00</w:t>
            </w:r>
          </w:p>
        </w:tc>
        <w:tc>
          <w:tcPr>
            <w:tcW w:w="1134" w:type="dxa"/>
            <w:gridSpan w:val="2"/>
          </w:tcPr>
          <w:p w14:paraId="6DF6B261" w14:textId="11A9C2E6" w:rsidR="00836C2A" w:rsidRPr="00343ACD" w:rsidRDefault="00FA4CB6" w:rsidP="00836C2A">
            <w:pPr>
              <w:jc w:val="right"/>
              <w:rPr>
                <w:sz w:val="22"/>
              </w:rPr>
            </w:pPr>
            <w:r w:rsidRPr="00343ACD">
              <w:rPr>
                <w:sz w:val="22"/>
              </w:rPr>
              <w:t>1</w:t>
            </w:r>
            <w:r w:rsidR="0095456E" w:rsidRPr="00343ACD">
              <w:rPr>
                <w:sz w:val="22"/>
              </w:rPr>
              <w:t>,</w:t>
            </w:r>
            <w:r w:rsidR="007204A8" w:rsidRPr="00343ACD">
              <w:rPr>
                <w:sz w:val="22"/>
              </w:rPr>
              <w:t>5</w:t>
            </w:r>
            <w:r w:rsidR="00363DFC" w:rsidRPr="00343ACD">
              <w:rPr>
                <w:sz w:val="22"/>
              </w:rPr>
              <w:t>21</w:t>
            </w:r>
            <w:r w:rsidR="00CC0A43" w:rsidRPr="00343ACD">
              <w:rPr>
                <w:sz w:val="22"/>
              </w:rPr>
              <w:t>.00</w:t>
            </w:r>
          </w:p>
          <w:p w14:paraId="2C261851" w14:textId="77777777" w:rsidR="005354CF" w:rsidRPr="00343ACD" w:rsidRDefault="005354CF" w:rsidP="00836C2A">
            <w:pPr>
              <w:jc w:val="right"/>
              <w:rPr>
                <w:sz w:val="22"/>
              </w:rPr>
            </w:pPr>
          </w:p>
          <w:p w14:paraId="4C7FB69D" w14:textId="77777777" w:rsidR="005354CF" w:rsidRPr="00343ACD" w:rsidRDefault="005354CF" w:rsidP="00836C2A">
            <w:pPr>
              <w:jc w:val="right"/>
              <w:rPr>
                <w:sz w:val="22"/>
              </w:rPr>
            </w:pPr>
          </w:p>
          <w:p w14:paraId="5A8D810C" w14:textId="77777777" w:rsidR="005354CF" w:rsidRPr="00343ACD" w:rsidRDefault="005354CF" w:rsidP="00836C2A">
            <w:pPr>
              <w:jc w:val="right"/>
              <w:rPr>
                <w:sz w:val="22"/>
              </w:rPr>
            </w:pPr>
          </w:p>
          <w:p w14:paraId="019C854D" w14:textId="3777EE34" w:rsidR="005354CF" w:rsidRPr="00343ACD" w:rsidRDefault="006F012B" w:rsidP="00FA4CB6">
            <w:pPr>
              <w:jc w:val="right"/>
              <w:rPr>
                <w:sz w:val="22"/>
              </w:rPr>
            </w:pPr>
            <w:r w:rsidRPr="00343ACD">
              <w:rPr>
                <w:sz w:val="22"/>
              </w:rPr>
              <w:t>3</w:t>
            </w:r>
            <w:r w:rsidR="00363DFC" w:rsidRPr="00343ACD">
              <w:rPr>
                <w:sz w:val="22"/>
              </w:rPr>
              <w:t>1</w:t>
            </w:r>
            <w:r w:rsidRPr="00343ACD">
              <w:rPr>
                <w:sz w:val="22"/>
              </w:rPr>
              <w:t>5.00</w:t>
            </w:r>
          </w:p>
        </w:tc>
      </w:tr>
      <w:tr w:rsidR="00836C2A" w14:paraId="45DFDD80" w14:textId="77777777">
        <w:tc>
          <w:tcPr>
            <w:tcW w:w="6629" w:type="dxa"/>
          </w:tcPr>
          <w:p w14:paraId="1854CBDC" w14:textId="77777777" w:rsidR="00836C2A" w:rsidRDefault="00836C2A" w:rsidP="00836C2A">
            <w:pPr>
              <w:ind w:left="720" w:hanging="720"/>
              <w:rPr>
                <w:sz w:val="22"/>
              </w:rPr>
            </w:pPr>
            <w:r>
              <w:rPr>
                <w:sz w:val="22"/>
              </w:rPr>
              <w:t>(c)        Interment in a Public Grave (Burial or cremated remains)</w:t>
            </w:r>
          </w:p>
          <w:p w14:paraId="081D74E4" w14:textId="77777777" w:rsidR="00836C2A" w:rsidRDefault="00836C2A" w:rsidP="00836C2A">
            <w:pPr>
              <w:ind w:left="720" w:hanging="720"/>
              <w:rPr>
                <w:sz w:val="22"/>
              </w:rPr>
            </w:pPr>
          </w:p>
        </w:tc>
        <w:tc>
          <w:tcPr>
            <w:tcW w:w="992" w:type="dxa"/>
          </w:tcPr>
          <w:p w14:paraId="6D1A0A9E" w14:textId="1DF03C90" w:rsidR="00836C2A" w:rsidRPr="00343ACD" w:rsidRDefault="006F012B" w:rsidP="00FA4CB6">
            <w:pPr>
              <w:jc w:val="right"/>
              <w:rPr>
                <w:sz w:val="22"/>
              </w:rPr>
            </w:pPr>
            <w:r w:rsidRPr="00343ACD">
              <w:rPr>
                <w:sz w:val="22"/>
              </w:rPr>
              <w:t>270.00</w:t>
            </w:r>
          </w:p>
        </w:tc>
        <w:tc>
          <w:tcPr>
            <w:tcW w:w="1134" w:type="dxa"/>
            <w:gridSpan w:val="2"/>
          </w:tcPr>
          <w:p w14:paraId="1B164DA8" w14:textId="1CD94E94" w:rsidR="00836C2A" w:rsidRPr="00343ACD" w:rsidRDefault="006F012B" w:rsidP="00A97C34">
            <w:pPr>
              <w:jc w:val="right"/>
              <w:rPr>
                <w:sz w:val="22"/>
              </w:rPr>
            </w:pPr>
            <w:r w:rsidRPr="00343ACD">
              <w:rPr>
                <w:sz w:val="22"/>
              </w:rPr>
              <w:t>540.00</w:t>
            </w:r>
          </w:p>
        </w:tc>
        <w:tc>
          <w:tcPr>
            <w:tcW w:w="1134" w:type="dxa"/>
            <w:gridSpan w:val="2"/>
          </w:tcPr>
          <w:p w14:paraId="41ADDC0E" w14:textId="5EF65F49" w:rsidR="00836C2A" w:rsidRPr="00343ACD" w:rsidRDefault="006F012B" w:rsidP="00A97C34">
            <w:pPr>
              <w:jc w:val="right"/>
              <w:rPr>
                <w:sz w:val="22"/>
              </w:rPr>
            </w:pPr>
            <w:r w:rsidRPr="00343ACD">
              <w:rPr>
                <w:sz w:val="22"/>
              </w:rPr>
              <w:t>810.00</w:t>
            </w:r>
          </w:p>
        </w:tc>
      </w:tr>
      <w:tr w:rsidR="00836C2A" w14:paraId="6E671A74" w14:textId="77777777">
        <w:tc>
          <w:tcPr>
            <w:tcW w:w="6629" w:type="dxa"/>
          </w:tcPr>
          <w:p w14:paraId="38415E3A" w14:textId="77777777" w:rsidR="00836C2A" w:rsidRDefault="00836C2A" w:rsidP="00836C2A">
            <w:pPr>
              <w:ind w:left="720" w:hanging="720"/>
              <w:rPr>
                <w:sz w:val="22"/>
              </w:rPr>
            </w:pPr>
            <w:r>
              <w:rPr>
                <w:sz w:val="22"/>
              </w:rPr>
              <w:t>(d)        Transfer or Assignment of Exclusive Rights of Burial</w:t>
            </w:r>
          </w:p>
          <w:p w14:paraId="3EC8B209" w14:textId="77777777" w:rsidR="00836C2A" w:rsidRDefault="00836C2A" w:rsidP="00836C2A">
            <w:pPr>
              <w:ind w:left="720" w:hanging="720"/>
              <w:rPr>
                <w:sz w:val="22"/>
              </w:rPr>
            </w:pPr>
          </w:p>
        </w:tc>
        <w:tc>
          <w:tcPr>
            <w:tcW w:w="992" w:type="dxa"/>
          </w:tcPr>
          <w:p w14:paraId="3462CA61" w14:textId="661322B5" w:rsidR="00836C2A" w:rsidRPr="00343ACD" w:rsidRDefault="006F012B" w:rsidP="00A97C34">
            <w:pPr>
              <w:jc w:val="right"/>
              <w:rPr>
                <w:sz w:val="22"/>
              </w:rPr>
            </w:pPr>
            <w:r w:rsidRPr="00343ACD">
              <w:rPr>
                <w:sz w:val="22"/>
              </w:rPr>
              <w:t>63.00</w:t>
            </w:r>
          </w:p>
        </w:tc>
        <w:tc>
          <w:tcPr>
            <w:tcW w:w="1134" w:type="dxa"/>
            <w:gridSpan w:val="2"/>
          </w:tcPr>
          <w:p w14:paraId="4CFAAD2D" w14:textId="2800963A" w:rsidR="00836C2A" w:rsidRPr="00343ACD" w:rsidRDefault="00EB52BF" w:rsidP="00FA4CB6">
            <w:pPr>
              <w:jc w:val="right"/>
              <w:rPr>
                <w:sz w:val="22"/>
              </w:rPr>
            </w:pPr>
            <w:r w:rsidRPr="00343ACD">
              <w:rPr>
                <w:sz w:val="22"/>
              </w:rPr>
              <w:t>1</w:t>
            </w:r>
            <w:r w:rsidR="007204A8" w:rsidRPr="00343ACD">
              <w:rPr>
                <w:sz w:val="22"/>
              </w:rPr>
              <w:t>2</w:t>
            </w:r>
            <w:r w:rsidR="00363DFC" w:rsidRPr="00343ACD">
              <w:rPr>
                <w:sz w:val="22"/>
              </w:rPr>
              <w:t>6</w:t>
            </w:r>
            <w:r w:rsidR="00CC0A43" w:rsidRPr="00343ACD">
              <w:rPr>
                <w:sz w:val="22"/>
              </w:rPr>
              <w:t>.00</w:t>
            </w:r>
          </w:p>
        </w:tc>
        <w:tc>
          <w:tcPr>
            <w:tcW w:w="1134" w:type="dxa"/>
            <w:gridSpan w:val="2"/>
          </w:tcPr>
          <w:p w14:paraId="47D26B31" w14:textId="603AC34C" w:rsidR="00836C2A" w:rsidRPr="00343ACD" w:rsidRDefault="006F012B" w:rsidP="00FA4CB6">
            <w:pPr>
              <w:jc w:val="right"/>
              <w:rPr>
                <w:sz w:val="22"/>
              </w:rPr>
            </w:pPr>
            <w:r w:rsidRPr="00343ACD">
              <w:rPr>
                <w:sz w:val="22"/>
              </w:rPr>
              <w:t>18</w:t>
            </w:r>
            <w:r w:rsidR="00363DFC" w:rsidRPr="00343ACD">
              <w:rPr>
                <w:sz w:val="22"/>
              </w:rPr>
              <w:t>9</w:t>
            </w:r>
            <w:r w:rsidRPr="00343ACD">
              <w:rPr>
                <w:sz w:val="22"/>
              </w:rPr>
              <w:t>.00</w:t>
            </w:r>
          </w:p>
        </w:tc>
      </w:tr>
      <w:tr w:rsidR="00836C2A" w14:paraId="461759C7" w14:textId="77777777">
        <w:tc>
          <w:tcPr>
            <w:tcW w:w="6629" w:type="dxa"/>
          </w:tcPr>
          <w:p w14:paraId="046EC450" w14:textId="77777777" w:rsidR="00836C2A" w:rsidRDefault="00836C2A" w:rsidP="00836C2A">
            <w:pPr>
              <w:pStyle w:val="Heading2"/>
              <w:rPr>
                <w:rFonts w:ascii="Arial" w:hAnsi="Arial"/>
                <w:sz w:val="22"/>
              </w:rPr>
            </w:pPr>
            <w:r>
              <w:rPr>
                <w:rFonts w:ascii="Arial" w:hAnsi="Arial"/>
                <w:sz w:val="22"/>
              </w:rPr>
              <w:t>2</w:t>
            </w:r>
            <w:r>
              <w:rPr>
                <w:rFonts w:ascii="Arial" w:hAnsi="Arial"/>
                <w:sz w:val="22"/>
              </w:rPr>
              <w:tab/>
              <w:t>Memorials</w:t>
            </w:r>
          </w:p>
        </w:tc>
        <w:tc>
          <w:tcPr>
            <w:tcW w:w="992" w:type="dxa"/>
          </w:tcPr>
          <w:p w14:paraId="286DE165" w14:textId="77777777" w:rsidR="00836C2A" w:rsidRDefault="00836C2A" w:rsidP="00836C2A">
            <w:pPr>
              <w:jc w:val="right"/>
              <w:rPr>
                <w:sz w:val="22"/>
              </w:rPr>
            </w:pPr>
          </w:p>
        </w:tc>
        <w:tc>
          <w:tcPr>
            <w:tcW w:w="1134" w:type="dxa"/>
            <w:gridSpan w:val="2"/>
          </w:tcPr>
          <w:p w14:paraId="1A6C993D" w14:textId="77777777" w:rsidR="00836C2A" w:rsidRDefault="00836C2A" w:rsidP="00836C2A">
            <w:pPr>
              <w:jc w:val="right"/>
              <w:rPr>
                <w:sz w:val="22"/>
              </w:rPr>
            </w:pPr>
          </w:p>
        </w:tc>
        <w:tc>
          <w:tcPr>
            <w:tcW w:w="1134" w:type="dxa"/>
            <w:gridSpan w:val="2"/>
          </w:tcPr>
          <w:p w14:paraId="533F7FD1" w14:textId="77777777" w:rsidR="00836C2A" w:rsidRDefault="00836C2A" w:rsidP="00836C2A">
            <w:pPr>
              <w:jc w:val="right"/>
              <w:rPr>
                <w:sz w:val="22"/>
              </w:rPr>
            </w:pPr>
          </w:p>
        </w:tc>
      </w:tr>
      <w:tr w:rsidR="00836C2A" w14:paraId="3EBB1B93" w14:textId="77777777">
        <w:tc>
          <w:tcPr>
            <w:tcW w:w="6629" w:type="dxa"/>
          </w:tcPr>
          <w:p w14:paraId="08DC13DE" w14:textId="77777777" w:rsidR="00836C2A" w:rsidRDefault="00836C2A" w:rsidP="00836C2A">
            <w:pPr>
              <w:ind w:left="720" w:hanging="720"/>
              <w:rPr>
                <w:sz w:val="22"/>
              </w:rPr>
            </w:pPr>
            <w:r>
              <w:rPr>
                <w:sz w:val="22"/>
              </w:rPr>
              <w:t xml:space="preserve">            Licence to make an additional inscription on a memorial, or add an additional free-standing vase, or for a replacement memorial.</w:t>
            </w:r>
          </w:p>
        </w:tc>
        <w:tc>
          <w:tcPr>
            <w:tcW w:w="992" w:type="dxa"/>
          </w:tcPr>
          <w:p w14:paraId="7DF2E6B0" w14:textId="52D03A4D" w:rsidR="00836C2A" w:rsidRPr="00343ACD" w:rsidRDefault="006F012B" w:rsidP="00A97C34">
            <w:pPr>
              <w:jc w:val="right"/>
              <w:rPr>
                <w:sz w:val="22"/>
              </w:rPr>
            </w:pPr>
            <w:r w:rsidRPr="00343ACD">
              <w:rPr>
                <w:sz w:val="22"/>
              </w:rPr>
              <w:t>44.00</w:t>
            </w:r>
          </w:p>
        </w:tc>
        <w:tc>
          <w:tcPr>
            <w:tcW w:w="1134" w:type="dxa"/>
            <w:gridSpan w:val="2"/>
          </w:tcPr>
          <w:p w14:paraId="6A88F33C" w14:textId="7AD1DD67" w:rsidR="00836C2A" w:rsidRPr="00343ACD" w:rsidRDefault="006F012B" w:rsidP="00A97C34">
            <w:pPr>
              <w:jc w:val="right"/>
              <w:rPr>
                <w:sz w:val="22"/>
              </w:rPr>
            </w:pPr>
            <w:r w:rsidRPr="00343ACD">
              <w:rPr>
                <w:sz w:val="22"/>
              </w:rPr>
              <w:t>8</w:t>
            </w:r>
            <w:r w:rsidR="00363DFC" w:rsidRPr="00343ACD">
              <w:rPr>
                <w:sz w:val="22"/>
              </w:rPr>
              <w:t>8</w:t>
            </w:r>
            <w:r w:rsidRPr="00343ACD">
              <w:rPr>
                <w:sz w:val="22"/>
              </w:rPr>
              <w:t>.00</w:t>
            </w:r>
          </w:p>
        </w:tc>
        <w:tc>
          <w:tcPr>
            <w:tcW w:w="1134" w:type="dxa"/>
            <w:gridSpan w:val="2"/>
          </w:tcPr>
          <w:p w14:paraId="22E82408" w14:textId="6B140946" w:rsidR="00836C2A" w:rsidRPr="00343ACD" w:rsidRDefault="006F012B" w:rsidP="00FA4CB6">
            <w:pPr>
              <w:jc w:val="right"/>
              <w:rPr>
                <w:sz w:val="22"/>
              </w:rPr>
            </w:pPr>
            <w:r w:rsidRPr="00343ACD">
              <w:rPr>
                <w:sz w:val="22"/>
              </w:rPr>
              <w:t>13</w:t>
            </w:r>
            <w:r w:rsidR="00363DFC" w:rsidRPr="00343ACD">
              <w:rPr>
                <w:sz w:val="22"/>
              </w:rPr>
              <w:t>2</w:t>
            </w:r>
            <w:r w:rsidRPr="00343ACD">
              <w:rPr>
                <w:sz w:val="22"/>
              </w:rPr>
              <w:t>.00</w:t>
            </w:r>
          </w:p>
        </w:tc>
      </w:tr>
      <w:tr w:rsidR="00836C2A" w14:paraId="19E78149" w14:textId="77777777">
        <w:tc>
          <w:tcPr>
            <w:tcW w:w="6629" w:type="dxa"/>
          </w:tcPr>
          <w:p w14:paraId="2B1DB9FC" w14:textId="77777777" w:rsidR="00836C2A" w:rsidRDefault="00836C2A" w:rsidP="00836C2A">
            <w:pPr>
              <w:ind w:left="720" w:hanging="720"/>
              <w:rPr>
                <w:sz w:val="22"/>
              </w:rPr>
            </w:pPr>
          </w:p>
        </w:tc>
        <w:tc>
          <w:tcPr>
            <w:tcW w:w="992" w:type="dxa"/>
          </w:tcPr>
          <w:p w14:paraId="2E74BB62" w14:textId="77777777" w:rsidR="00836C2A" w:rsidRDefault="00836C2A" w:rsidP="00836C2A">
            <w:pPr>
              <w:jc w:val="right"/>
              <w:rPr>
                <w:sz w:val="22"/>
              </w:rPr>
            </w:pPr>
          </w:p>
        </w:tc>
        <w:tc>
          <w:tcPr>
            <w:tcW w:w="1134" w:type="dxa"/>
            <w:gridSpan w:val="2"/>
          </w:tcPr>
          <w:p w14:paraId="4F457957" w14:textId="77777777" w:rsidR="00836C2A" w:rsidRDefault="00836C2A" w:rsidP="00836C2A">
            <w:pPr>
              <w:jc w:val="right"/>
              <w:rPr>
                <w:sz w:val="22"/>
              </w:rPr>
            </w:pPr>
          </w:p>
        </w:tc>
        <w:tc>
          <w:tcPr>
            <w:tcW w:w="1134" w:type="dxa"/>
            <w:gridSpan w:val="2"/>
          </w:tcPr>
          <w:p w14:paraId="374CD72C" w14:textId="77777777" w:rsidR="00836C2A" w:rsidRDefault="00836C2A" w:rsidP="00836C2A">
            <w:pPr>
              <w:jc w:val="right"/>
              <w:rPr>
                <w:sz w:val="22"/>
              </w:rPr>
            </w:pPr>
          </w:p>
        </w:tc>
      </w:tr>
      <w:tr w:rsidR="00836C2A" w14:paraId="210FC87F" w14:textId="77777777">
        <w:tc>
          <w:tcPr>
            <w:tcW w:w="6629" w:type="dxa"/>
          </w:tcPr>
          <w:p w14:paraId="6157A03D" w14:textId="77777777" w:rsidR="00836C2A" w:rsidRDefault="00836C2A" w:rsidP="00836C2A">
            <w:pPr>
              <w:pStyle w:val="Heading3"/>
              <w:rPr>
                <w:rFonts w:ascii="Arial" w:hAnsi="Arial"/>
                <w:sz w:val="22"/>
              </w:rPr>
            </w:pPr>
            <w:r>
              <w:rPr>
                <w:rFonts w:ascii="Arial" w:hAnsi="Arial"/>
                <w:sz w:val="22"/>
              </w:rPr>
              <w:t>3</w:t>
            </w:r>
            <w:r>
              <w:rPr>
                <w:rFonts w:ascii="Arial" w:hAnsi="Arial"/>
                <w:sz w:val="22"/>
              </w:rPr>
              <w:tab/>
              <w:t xml:space="preserve">Digging and Re-opening </w:t>
            </w:r>
            <w:smartTag w:uri="urn:schemas-microsoft-com:office:smarttags" w:element="place">
              <w:r>
                <w:rPr>
                  <w:rFonts w:ascii="Arial" w:hAnsi="Arial"/>
                  <w:sz w:val="22"/>
                </w:rPr>
                <w:t>Graves</w:t>
              </w:r>
            </w:smartTag>
          </w:p>
        </w:tc>
        <w:tc>
          <w:tcPr>
            <w:tcW w:w="992" w:type="dxa"/>
          </w:tcPr>
          <w:p w14:paraId="79AB3260" w14:textId="77777777" w:rsidR="00836C2A" w:rsidRDefault="00836C2A" w:rsidP="00836C2A">
            <w:pPr>
              <w:jc w:val="right"/>
              <w:rPr>
                <w:sz w:val="22"/>
              </w:rPr>
            </w:pPr>
          </w:p>
        </w:tc>
        <w:tc>
          <w:tcPr>
            <w:tcW w:w="1134" w:type="dxa"/>
            <w:gridSpan w:val="2"/>
          </w:tcPr>
          <w:p w14:paraId="37B8947F" w14:textId="77777777" w:rsidR="00836C2A" w:rsidRDefault="00836C2A" w:rsidP="00836C2A">
            <w:pPr>
              <w:jc w:val="right"/>
              <w:rPr>
                <w:sz w:val="22"/>
              </w:rPr>
            </w:pPr>
          </w:p>
        </w:tc>
        <w:tc>
          <w:tcPr>
            <w:tcW w:w="1134" w:type="dxa"/>
            <w:gridSpan w:val="2"/>
          </w:tcPr>
          <w:p w14:paraId="3F259D49" w14:textId="77777777" w:rsidR="00836C2A" w:rsidRDefault="00836C2A" w:rsidP="00836C2A">
            <w:pPr>
              <w:jc w:val="right"/>
              <w:rPr>
                <w:sz w:val="22"/>
              </w:rPr>
            </w:pPr>
          </w:p>
        </w:tc>
      </w:tr>
      <w:tr w:rsidR="00836C2A" w14:paraId="7F92AD4D" w14:textId="77777777">
        <w:tc>
          <w:tcPr>
            <w:tcW w:w="6629" w:type="dxa"/>
          </w:tcPr>
          <w:p w14:paraId="758B74D8" w14:textId="77777777" w:rsidR="00836C2A" w:rsidRDefault="00836C2A" w:rsidP="00836C2A">
            <w:pPr>
              <w:ind w:left="720" w:hanging="720"/>
              <w:rPr>
                <w:sz w:val="22"/>
              </w:rPr>
            </w:pPr>
            <w:r>
              <w:rPr>
                <w:sz w:val="22"/>
              </w:rPr>
              <w:t xml:space="preserve">            Interment, including digging and subsequent covering with turf or shingle as appropriate:</w:t>
            </w:r>
          </w:p>
          <w:p w14:paraId="020E71F7" w14:textId="77777777" w:rsidR="00836C2A" w:rsidRDefault="00836C2A" w:rsidP="00836C2A">
            <w:pPr>
              <w:ind w:left="720" w:hanging="720"/>
              <w:rPr>
                <w:sz w:val="22"/>
              </w:rPr>
            </w:pPr>
          </w:p>
          <w:p w14:paraId="7F36CEFE" w14:textId="77777777" w:rsidR="00836C2A" w:rsidRDefault="00836C2A" w:rsidP="00836C2A">
            <w:pPr>
              <w:ind w:left="720" w:hanging="720"/>
              <w:rPr>
                <w:sz w:val="22"/>
              </w:rPr>
            </w:pPr>
            <w:r>
              <w:rPr>
                <w:sz w:val="22"/>
              </w:rPr>
              <w:t>a)         To a depth of 8 feet (240cm)</w:t>
            </w:r>
          </w:p>
          <w:p w14:paraId="74AFE44D" w14:textId="77777777" w:rsidR="00836C2A" w:rsidRDefault="00836C2A" w:rsidP="00836C2A">
            <w:pPr>
              <w:ind w:left="720" w:hanging="720"/>
              <w:rPr>
                <w:sz w:val="22"/>
              </w:rPr>
            </w:pPr>
          </w:p>
        </w:tc>
        <w:tc>
          <w:tcPr>
            <w:tcW w:w="992" w:type="dxa"/>
          </w:tcPr>
          <w:p w14:paraId="1AD662D3" w14:textId="77777777" w:rsidR="00836C2A" w:rsidRPr="00343ACD" w:rsidRDefault="00836C2A" w:rsidP="00836C2A">
            <w:pPr>
              <w:jc w:val="right"/>
              <w:rPr>
                <w:sz w:val="22"/>
              </w:rPr>
            </w:pPr>
          </w:p>
          <w:p w14:paraId="2D99EE14" w14:textId="77777777" w:rsidR="00836C2A" w:rsidRPr="00343ACD" w:rsidRDefault="00836C2A" w:rsidP="00836C2A">
            <w:pPr>
              <w:jc w:val="right"/>
              <w:rPr>
                <w:sz w:val="22"/>
              </w:rPr>
            </w:pPr>
          </w:p>
          <w:p w14:paraId="054F3C4D" w14:textId="77777777" w:rsidR="00836C2A" w:rsidRPr="00343ACD" w:rsidRDefault="00836C2A" w:rsidP="00836C2A">
            <w:pPr>
              <w:jc w:val="right"/>
              <w:rPr>
                <w:sz w:val="22"/>
              </w:rPr>
            </w:pPr>
          </w:p>
          <w:p w14:paraId="4BC910F1" w14:textId="459DA213" w:rsidR="00836C2A" w:rsidRPr="00343ACD" w:rsidRDefault="006F012B" w:rsidP="0061460C">
            <w:pPr>
              <w:jc w:val="right"/>
              <w:rPr>
                <w:sz w:val="22"/>
              </w:rPr>
            </w:pPr>
            <w:r w:rsidRPr="00343ACD">
              <w:rPr>
                <w:sz w:val="22"/>
              </w:rPr>
              <w:t>795.00</w:t>
            </w:r>
          </w:p>
        </w:tc>
        <w:tc>
          <w:tcPr>
            <w:tcW w:w="1134" w:type="dxa"/>
            <w:gridSpan w:val="2"/>
          </w:tcPr>
          <w:p w14:paraId="7B9BC583" w14:textId="77777777" w:rsidR="00836C2A" w:rsidRPr="00343ACD" w:rsidRDefault="00836C2A" w:rsidP="00836C2A">
            <w:pPr>
              <w:jc w:val="right"/>
              <w:rPr>
                <w:sz w:val="22"/>
              </w:rPr>
            </w:pPr>
          </w:p>
          <w:p w14:paraId="21F53C3C" w14:textId="77777777" w:rsidR="00836C2A" w:rsidRPr="00343ACD" w:rsidRDefault="00836C2A" w:rsidP="00836C2A">
            <w:pPr>
              <w:jc w:val="right"/>
              <w:rPr>
                <w:sz w:val="22"/>
              </w:rPr>
            </w:pPr>
          </w:p>
          <w:p w14:paraId="58149732" w14:textId="77777777" w:rsidR="00836C2A" w:rsidRPr="00343ACD" w:rsidRDefault="00836C2A" w:rsidP="00836C2A">
            <w:pPr>
              <w:jc w:val="right"/>
              <w:rPr>
                <w:sz w:val="22"/>
              </w:rPr>
            </w:pPr>
          </w:p>
          <w:p w14:paraId="28F94B5B" w14:textId="65EDBE92" w:rsidR="00836C2A" w:rsidRPr="00343ACD" w:rsidRDefault="006F012B" w:rsidP="0061460C">
            <w:pPr>
              <w:jc w:val="right"/>
              <w:rPr>
                <w:sz w:val="22"/>
              </w:rPr>
            </w:pPr>
            <w:r w:rsidRPr="00343ACD">
              <w:rPr>
                <w:sz w:val="22"/>
              </w:rPr>
              <w:t>1,5</w:t>
            </w:r>
            <w:r w:rsidR="00363DFC" w:rsidRPr="00343ACD">
              <w:rPr>
                <w:sz w:val="22"/>
              </w:rPr>
              <w:t>90</w:t>
            </w:r>
            <w:r w:rsidRPr="00343ACD">
              <w:rPr>
                <w:sz w:val="22"/>
              </w:rPr>
              <w:t>.00</w:t>
            </w:r>
          </w:p>
        </w:tc>
        <w:tc>
          <w:tcPr>
            <w:tcW w:w="1134" w:type="dxa"/>
            <w:gridSpan w:val="2"/>
          </w:tcPr>
          <w:p w14:paraId="5D39A50E" w14:textId="77777777" w:rsidR="00836C2A" w:rsidRPr="00343ACD" w:rsidRDefault="00836C2A" w:rsidP="0061460C">
            <w:pPr>
              <w:jc w:val="right"/>
              <w:rPr>
                <w:sz w:val="22"/>
              </w:rPr>
            </w:pPr>
          </w:p>
          <w:p w14:paraId="06556D7A" w14:textId="77777777" w:rsidR="00C2139B" w:rsidRPr="00343ACD" w:rsidRDefault="00C2139B" w:rsidP="0061460C">
            <w:pPr>
              <w:jc w:val="right"/>
              <w:rPr>
                <w:sz w:val="22"/>
              </w:rPr>
            </w:pPr>
          </w:p>
          <w:p w14:paraId="6C2EA84C" w14:textId="77777777" w:rsidR="00C2139B" w:rsidRPr="00343ACD" w:rsidRDefault="00C2139B" w:rsidP="0061460C">
            <w:pPr>
              <w:jc w:val="right"/>
              <w:rPr>
                <w:sz w:val="22"/>
              </w:rPr>
            </w:pPr>
          </w:p>
          <w:p w14:paraId="3A23842E" w14:textId="729F4CA0" w:rsidR="00C2139B" w:rsidRPr="00343ACD" w:rsidRDefault="00C2139B" w:rsidP="0061460C">
            <w:pPr>
              <w:jc w:val="right"/>
              <w:rPr>
                <w:sz w:val="22"/>
              </w:rPr>
            </w:pPr>
            <w:r w:rsidRPr="00343ACD">
              <w:rPr>
                <w:sz w:val="22"/>
              </w:rPr>
              <w:t>2,38</w:t>
            </w:r>
            <w:r w:rsidR="00363DFC" w:rsidRPr="00343ACD">
              <w:rPr>
                <w:sz w:val="22"/>
              </w:rPr>
              <w:t>5</w:t>
            </w:r>
            <w:r w:rsidRPr="00343ACD">
              <w:rPr>
                <w:sz w:val="22"/>
              </w:rPr>
              <w:t>.00</w:t>
            </w:r>
          </w:p>
        </w:tc>
      </w:tr>
      <w:tr w:rsidR="00836C2A" w14:paraId="49CD7D34" w14:textId="77777777">
        <w:tc>
          <w:tcPr>
            <w:tcW w:w="6629" w:type="dxa"/>
          </w:tcPr>
          <w:p w14:paraId="390F65F3" w14:textId="77777777" w:rsidR="00836C2A" w:rsidRDefault="00836C2A" w:rsidP="00836C2A">
            <w:pPr>
              <w:ind w:left="720" w:hanging="720"/>
              <w:rPr>
                <w:sz w:val="22"/>
              </w:rPr>
            </w:pPr>
            <w:r>
              <w:rPr>
                <w:sz w:val="22"/>
              </w:rPr>
              <w:t>b)         To a depth of 6 feet (180cm)</w:t>
            </w:r>
          </w:p>
          <w:p w14:paraId="1EC6E23D" w14:textId="77777777" w:rsidR="00836C2A" w:rsidRDefault="00836C2A" w:rsidP="00836C2A">
            <w:pPr>
              <w:ind w:left="720" w:hanging="720"/>
              <w:rPr>
                <w:sz w:val="22"/>
              </w:rPr>
            </w:pPr>
          </w:p>
        </w:tc>
        <w:tc>
          <w:tcPr>
            <w:tcW w:w="992" w:type="dxa"/>
          </w:tcPr>
          <w:p w14:paraId="4EE1F229" w14:textId="65F8BBC8" w:rsidR="00836C2A" w:rsidRPr="00343ACD" w:rsidRDefault="00C2139B" w:rsidP="0061460C">
            <w:pPr>
              <w:jc w:val="right"/>
              <w:rPr>
                <w:sz w:val="22"/>
              </w:rPr>
            </w:pPr>
            <w:r w:rsidRPr="00343ACD">
              <w:rPr>
                <w:sz w:val="22"/>
              </w:rPr>
              <w:t>619.00</w:t>
            </w:r>
          </w:p>
        </w:tc>
        <w:tc>
          <w:tcPr>
            <w:tcW w:w="1134" w:type="dxa"/>
            <w:gridSpan w:val="2"/>
          </w:tcPr>
          <w:p w14:paraId="4D13EAFB" w14:textId="3FF3075F" w:rsidR="00836C2A" w:rsidRPr="00343ACD" w:rsidRDefault="00C2139B" w:rsidP="0061460C">
            <w:pPr>
              <w:jc w:val="right"/>
              <w:rPr>
                <w:sz w:val="22"/>
              </w:rPr>
            </w:pPr>
            <w:r w:rsidRPr="00343ACD">
              <w:rPr>
                <w:sz w:val="22"/>
              </w:rPr>
              <w:t>1,23</w:t>
            </w:r>
            <w:r w:rsidR="00363DFC" w:rsidRPr="00343ACD">
              <w:rPr>
                <w:sz w:val="22"/>
              </w:rPr>
              <w:t>8</w:t>
            </w:r>
            <w:r w:rsidRPr="00343ACD">
              <w:rPr>
                <w:sz w:val="22"/>
              </w:rPr>
              <w:t>.00</w:t>
            </w:r>
          </w:p>
        </w:tc>
        <w:tc>
          <w:tcPr>
            <w:tcW w:w="1134" w:type="dxa"/>
            <w:gridSpan w:val="2"/>
          </w:tcPr>
          <w:p w14:paraId="102A8218" w14:textId="524B0139" w:rsidR="00836C2A" w:rsidRPr="00343ACD" w:rsidRDefault="00C2139B" w:rsidP="0061460C">
            <w:pPr>
              <w:jc w:val="right"/>
              <w:rPr>
                <w:sz w:val="22"/>
              </w:rPr>
            </w:pPr>
            <w:r w:rsidRPr="00343ACD">
              <w:rPr>
                <w:sz w:val="22"/>
              </w:rPr>
              <w:t>1,85</w:t>
            </w:r>
            <w:r w:rsidR="00363DFC" w:rsidRPr="00343ACD">
              <w:rPr>
                <w:sz w:val="22"/>
              </w:rPr>
              <w:t>7</w:t>
            </w:r>
            <w:r w:rsidRPr="00343ACD">
              <w:rPr>
                <w:sz w:val="22"/>
              </w:rPr>
              <w:t>.00</w:t>
            </w:r>
          </w:p>
        </w:tc>
      </w:tr>
      <w:tr w:rsidR="00836C2A" w14:paraId="0583D649" w14:textId="77777777">
        <w:tc>
          <w:tcPr>
            <w:tcW w:w="6629" w:type="dxa"/>
          </w:tcPr>
          <w:p w14:paraId="6B490D5A" w14:textId="77777777" w:rsidR="00836C2A" w:rsidRDefault="00836C2A" w:rsidP="00836C2A">
            <w:pPr>
              <w:ind w:left="720" w:hanging="720"/>
              <w:jc w:val="right"/>
              <w:rPr>
                <w:sz w:val="22"/>
              </w:rPr>
            </w:pPr>
          </w:p>
        </w:tc>
        <w:tc>
          <w:tcPr>
            <w:tcW w:w="992" w:type="dxa"/>
          </w:tcPr>
          <w:p w14:paraId="6C923140" w14:textId="77777777" w:rsidR="00836C2A" w:rsidRDefault="00836C2A" w:rsidP="00836C2A">
            <w:pPr>
              <w:jc w:val="right"/>
              <w:rPr>
                <w:sz w:val="22"/>
              </w:rPr>
            </w:pPr>
          </w:p>
        </w:tc>
        <w:tc>
          <w:tcPr>
            <w:tcW w:w="1134" w:type="dxa"/>
            <w:gridSpan w:val="2"/>
          </w:tcPr>
          <w:p w14:paraId="3F785252" w14:textId="77777777" w:rsidR="00836C2A" w:rsidRDefault="00836C2A" w:rsidP="00836C2A">
            <w:pPr>
              <w:jc w:val="right"/>
              <w:rPr>
                <w:sz w:val="22"/>
              </w:rPr>
            </w:pPr>
          </w:p>
        </w:tc>
        <w:tc>
          <w:tcPr>
            <w:tcW w:w="1134" w:type="dxa"/>
            <w:gridSpan w:val="2"/>
          </w:tcPr>
          <w:p w14:paraId="05FAE730" w14:textId="77777777" w:rsidR="00836C2A" w:rsidRDefault="00836C2A" w:rsidP="00836C2A">
            <w:pPr>
              <w:jc w:val="right"/>
              <w:rPr>
                <w:sz w:val="22"/>
              </w:rPr>
            </w:pPr>
            <w:r>
              <w:rPr>
                <w:sz w:val="22"/>
              </w:rPr>
              <w:t>P.T.O.</w:t>
            </w:r>
          </w:p>
        </w:tc>
      </w:tr>
    </w:tbl>
    <w:p w14:paraId="2DC06AB0" w14:textId="77777777" w:rsidR="00836C2A" w:rsidRDefault="00836C2A" w:rsidP="00836C2A">
      <w:pPr>
        <w:rPr>
          <w:sz w:val="22"/>
        </w:rPr>
      </w:pPr>
      <w:r>
        <w:rPr>
          <w:sz w:val="22"/>
        </w:rPr>
        <w:br w:type="page"/>
      </w:r>
    </w:p>
    <w:tbl>
      <w:tblPr>
        <w:tblW w:w="0" w:type="auto"/>
        <w:tblLayout w:type="fixed"/>
        <w:tblLook w:val="0000" w:firstRow="0" w:lastRow="0" w:firstColumn="0" w:lastColumn="0" w:noHBand="0" w:noVBand="0"/>
      </w:tblPr>
      <w:tblGrid>
        <w:gridCol w:w="6487"/>
        <w:gridCol w:w="1134"/>
        <w:gridCol w:w="1134"/>
        <w:gridCol w:w="1134"/>
      </w:tblGrid>
      <w:tr w:rsidR="00836C2A" w14:paraId="561DDC10" w14:textId="77777777">
        <w:tc>
          <w:tcPr>
            <w:tcW w:w="6487" w:type="dxa"/>
          </w:tcPr>
          <w:p w14:paraId="49C9B64E" w14:textId="77777777" w:rsidR="00836C2A" w:rsidRDefault="00836C2A" w:rsidP="00836C2A">
            <w:pPr>
              <w:ind w:left="720" w:hanging="720"/>
              <w:rPr>
                <w:sz w:val="22"/>
              </w:rPr>
            </w:pPr>
            <w:r>
              <w:rPr>
                <w:sz w:val="22"/>
              </w:rPr>
              <w:lastRenderedPageBreak/>
              <w:t>c)         To a depth of 4 feet 6 inches (135cm)</w:t>
            </w:r>
          </w:p>
          <w:p w14:paraId="5A63BC68" w14:textId="77777777" w:rsidR="00836C2A" w:rsidRDefault="00836C2A" w:rsidP="00836C2A">
            <w:pPr>
              <w:ind w:left="720" w:hanging="720"/>
              <w:rPr>
                <w:sz w:val="22"/>
              </w:rPr>
            </w:pPr>
          </w:p>
        </w:tc>
        <w:tc>
          <w:tcPr>
            <w:tcW w:w="1134" w:type="dxa"/>
          </w:tcPr>
          <w:p w14:paraId="3F3FB51A" w14:textId="7D085AD1" w:rsidR="00836C2A" w:rsidRPr="00343ACD" w:rsidRDefault="00B15015" w:rsidP="0061460C">
            <w:pPr>
              <w:jc w:val="right"/>
              <w:rPr>
                <w:sz w:val="22"/>
              </w:rPr>
            </w:pPr>
            <w:r w:rsidRPr="00343ACD">
              <w:rPr>
                <w:sz w:val="22"/>
              </w:rPr>
              <w:t>455.00</w:t>
            </w:r>
          </w:p>
        </w:tc>
        <w:tc>
          <w:tcPr>
            <w:tcW w:w="1134" w:type="dxa"/>
          </w:tcPr>
          <w:p w14:paraId="0A137FB0" w14:textId="7F207040" w:rsidR="00836C2A" w:rsidRPr="00343ACD" w:rsidRDefault="00B15015" w:rsidP="0061460C">
            <w:pPr>
              <w:jc w:val="right"/>
              <w:rPr>
                <w:sz w:val="22"/>
              </w:rPr>
            </w:pPr>
            <w:r w:rsidRPr="00343ACD">
              <w:rPr>
                <w:sz w:val="22"/>
              </w:rPr>
              <w:t>910.00</w:t>
            </w:r>
          </w:p>
        </w:tc>
        <w:tc>
          <w:tcPr>
            <w:tcW w:w="1134" w:type="dxa"/>
          </w:tcPr>
          <w:p w14:paraId="2916433A" w14:textId="1077B980" w:rsidR="00836C2A" w:rsidRPr="00343ACD" w:rsidRDefault="00B15015" w:rsidP="0061460C">
            <w:pPr>
              <w:jc w:val="right"/>
              <w:rPr>
                <w:sz w:val="22"/>
              </w:rPr>
            </w:pPr>
            <w:r w:rsidRPr="00343ACD">
              <w:rPr>
                <w:sz w:val="22"/>
              </w:rPr>
              <w:t>1,365.00</w:t>
            </w:r>
          </w:p>
        </w:tc>
      </w:tr>
      <w:tr w:rsidR="00836C2A" w14:paraId="6608BBE5" w14:textId="77777777">
        <w:tc>
          <w:tcPr>
            <w:tcW w:w="6487" w:type="dxa"/>
          </w:tcPr>
          <w:p w14:paraId="52904367" w14:textId="77777777" w:rsidR="00836C2A" w:rsidRDefault="00836C2A" w:rsidP="00836C2A">
            <w:pPr>
              <w:ind w:left="720" w:hanging="720"/>
              <w:rPr>
                <w:sz w:val="22"/>
              </w:rPr>
            </w:pPr>
            <w:r>
              <w:rPr>
                <w:sz w:val="22"/>
              </w:rPr>
              <w:t>d)         Cremated remains</w:t>
            </w:r>
          </w:p>
          <w:p w14:paraId="0376AE59" w14:textId="77777777" w:rsidR="00836C2A" w:rsidRDefault="00836C2A" w:rsidP="00836C2A">
            <w:pPr>
              <w:ind w:left="720" w:hanging="720"/>
              <w:rPr>
                <w:sz w:val="22"/>
              </w:rPr>
            </w:pPr>
          </w:p>
        </w:tc>
        <w:tc>
          <w:tcPr>
            <w:tcW w:w="1134" w:type="dxa"/>
          </w:tcPr>
          <w:p w14:paraId="7B0B3D55" w14:textId="54FD5109" w:rsidR="00836C2A" w:rsidRPr="00343ACD" w:rsidRDefault="00B15015" w:rsidP="0061460C">
            <w:pPr>
              <w:jc w:val="right"/>
              <w:rPr>
                <w:sz w:val="22"/>
              </w:rPr>
            </w:pPr>
            <w:r w:rsidRPr="00343ACD">
              <w:rPr>
                <w:sz w:val="22"/>
              </w:rPr>
              <w:t>176.00</w:t>
            </w:r>
          </w:p>
        </w:tc>
        <w:tc>
          <w:tcPr>
            <w:tcW w:w="1134" w:type="dxa"/>
          </w:tcPr>
          <w:p w14:paraId="793CDE23" w14:textId="30013467" w:rsidR="00836C2A" w:rsidRPr="00343ACD" w:rsidRDefault="00B15015" w:rsidP="00CB44A2">
            <w:pPr>
              <w:jc w:val="right"/>
              <w:rPr>
                <w:sz w:val="22"/>
              </w:rPr>
            </w:pPr>
            <w:r w:rsidRPr="00343ACD">
              <w:rPr>
                <w:sz w:val="22"/>
              </w:rPr>
              <w:t>352.00</w:t>
            </w:r>
          </w:p>
        </w:tc>
        <w:tc>
          <w:tcPr>
            <w:tcW w:w="1134" w:type="dxa"/>
          </w:tcPr>
          <w:p w14:paraId="2F22D316" w14:textId="1BDE88E2" w:rsidR="00836C2A" w:rsidRPr="00343ACD" w:rsidRDefault="00B15015" w:rsidP="00CB44A2">
            <w:pPr>
              <w:jc w:val="right"/>
              <w:rPr>
                <w:sz w:val="22"/>
              </w:rPr>
            </w:pPr>
            <w:r w:rsidRPr="00343ACD">
              <w:rPr>
                <w:sz w:val="22"/>
              </w:rPr>
              <w:t>528.00</w:t>
            </w:r>
          </w:p>
        </w:tc>
      </w:tr>
      <w:tr w:rsidR="00836C2A" w14:paraId="4ABFC657" w14:textId="77777777">
        <w:tc>
          <w:tcPr>
            <w:tcW w:w="6487" w:type="dxa"/>
          </w:tcPr>
          <w:p w14:paraId="781D3646" w14:textId="77777777" w:rsidR="00836C2A" w:rsidRDefault="00836C2A" w:rsidP="00836C2A">
            <w:pPr>
              <w:ind w:left="720" w:hanging="720"/>
              <w:rPr>
                <w:sz w:val="22"/>
              </w:rPr>
            </w:pPr>
            <w:r>
              <w:rPr>
                <w:sz w:val="22"/>
              </w:rPr>
              <w:t>e)         Two sets of cremated remains in one casket</w:t>
            </w:r>
          </w:p>
          <w:p w14:paraId="13B825D3" w14:textId="77777777" w:rsidR="00836C2A" w:rsidRDefault="00836C2A" w:rsidP="00836C2A">
            <w:pPr>
              <w:ind w:left="720" w:hanging="720"/>
              <w:rPr>
                <w:sz w:val="22"/>
              </w:rPr>
            </w:pPr>
          </w:p>
        </w:tc>
        <w:tc>
          <w:tcPr>
            <w:tcW w:w="1134" w:type="dxa"/>
          </w:tcPr>
          <w:p w14:paraId="1A8FD603" w14:textId="5B31C017" w:rsidR="00836C2A" w:rsidRPr="00343ACD" w:rsidRDefault="00702402" w:rsidP="00CB44A2">
            <w:pPr>
              <w:jc w:val="right"/>
              <w:rPr>
                <w:sz w:val="22"/>
              </w:rPr>
            </w:pPr>
            <w:r w:rsidRPr="00343ACD">
              <w:rPr>
                <w:sz w:val="22"/>
              </w:rPr>
              <w:t>26</w:t>
            </w:r>
            <w:r w:rsidR="00363DFC" w:rsidRPr="00343ACD">
              <w:rPr>
                <w:sz w:val="22"/>
              </w:rPr>
              <w:t>2</w:t>
            </w:r>
            <w:r w:rsidRPr="00343ACD">
              <w:rPr>
                <w:sz w:val="22"/>
              </w:rPr>
              <w:t>.00</w:t>
            </w:r>
          </w:p>
        </w:tc>
        <w:tc>
          <w:tcPr>
            <w:tcW w:w="1134" w:type="dxa"/>
          </w:tcPr>
          <w:p w14:paraId="1B11FA13" w14:textId="67618D4A" w:rsidR="00836C2A" w:rsidRPr="00343ACD" w:rsidRDefault="00702402" w:rsidP="00CB44A2">
            <w:pPr>
              <w:jc w:val="right"/>
              <w:rPr>
                <w:sz w:val="22"/>
              </w:rPr>
            </w:pPr>
            <w:r w:rsidRPr="00343ACD">
              <w:rPr>
                <w:sz w:val="22"/>
              </w:rPr>
              <w:t>524.00</w:t>
            </w:r>
          </w:p>
        </w:tc>
        <w:tc>
          <w:tcPr>
            <w:tcW w:w="1134" w:type="dxa"/>
          </w:tcPr>
          <w:p w14:paraId="1BB35B3C" w14:textId="70EF4222" w:rsidR="00836C2A" w:rsidRPr="00343ACD" w:rsidRDefault="00702402" w:rsidP="00CB44A2">
            <w:pPr>
              <w:jc w:val="right"/>
              <w:rPr>
                <w:sz w:val="22"/>
              </w:rPr>
            </w:pPr>
            <w:r w:rsidRPr="00343ACD">
              <w:rPr>
                <w:sz w:val="22"/>
              </w:rPr>
              <w:t>78</w:t>
            </w:r>
            <w:r w:rsidR="00363DFC" w:rsidRPr="00343ACD">
              <w:rPr>
                <w:sz w:val="22"/>
              </w:rPr>
              <w:t>6</w:t>
            </w:r>
            <w:r w:rsidRPr="00343ACD">
              <w:rPr>
                <w:sz w:val="22"/>
              </w:rPr>
              <w:t>.00</w:t>
            </w:r>
          </w:p>
        </w:tc>
      </w:tr>
      <w:tr w:rsidR="00836C2A" w14:paraId="21E096BD" w14:textId="77777777">
        <w:trPr>
          <w:cantSplit/>
        </w:trPr>
        <w:tc>
          <w:tcPr>
            <w:tcW w:w="6487" w:type="dxa"/>
          </w:tcPr>
          <w:p w14:paraId="3A28E4A0" w14:textId="77777777" w:rsidR="00836C2A" w:rsidRDefault="00836C2A" w:rsidP="00836C2A">
            <w:pPr>
              <w:ind w:left="720" w:hanging="720"/>
              <w:rPr>
                <w:sz w:val="22"/>
              </w:rPr>
            </w:pPr>
            <w:r>
              <w:rPr>
                <w:sz w:val="22"/>
              </w:rPr>
              <w:t>f)          Interment in an existing vault</w:t>
            </w:r>
          </w:p>
          <w:p w14:paraId="4DD7B2FA" w14:textId="77777777" w:rsidR="00836C2A" w:rsidRDefault="00836C2A" w:rsidP="00836C2A">
            <w:pPr>
              <w:ind w:left="720" w:hanging="720"/>
              <w:rPr>
                <w:sz w:val="22"/>
              </w:rPr>
            </w:pPr>
          </w:p>
        </w:tc>
        <w:tc>
          <w:tcPr>
            <w:tcW w:w="3402" w:type="dxa"/>
            <w:gridSpan w:val="3"/>
          </w:tcPr>
          <w:p w14:paraId="66FA0D64" w14:textId="77777777" w:rsidR="00836C2A" w:rsidRDefault="00836C2A" w:rsidP="00836C2A">
            <w:pPr>
              <w:jc w:val="center"/>
              <w:rPr>
                <w:sz w:val="22"/>
              </w:rPr>
            </w:pPr>
            <w:r>
              <w:rPr>
                <w:sz w:val="22"/>
              </w:rPr>
              <w:t>Price on application</w:t>
            </w:r>
          </w:p>
        </w:tc>
      </w:tr>
    </w:tbl>
    <w:p w14:paraId="4003893B" w14:textId="77777777" w:rsidR="00836C2A" w:rsidRDefault="00836C2A" w:rsidP="00836C2A">
      <w:pPr>
        <w:rPr>
          <w:sz w:val="22"/>
        </w:rPr>
      </w:pPr>
    </w:p>
    <w:p w14:paraId="62B47B97" w14:textId="77777777" w:rsidR="00836C2A" w:rsidRDefault="00836C2A" w:rsidP="00836C2A">
      <w:pPr>
        <w:rPr>
          <w:sz w:val="22"/>
        </w:rPr>
      </w:pPr>
      <w:r>
        <w:rPr>
          <w:sz w:val="22"/>
        </w:rPr>
        <w:t xml:space="preserve">Fees should be submitted with applications.  </w:t>
      </w:r>
      <w:r w:rsidR="005354CF">
        <w:rPr>
          <w:sz w:val="22"/>
        </w:rPr>
        <w:t>Please make c</w:t>
      </w:r>
      <w:r>
        <w:rPr>
          <w:sz w:val="22"/>
        </w:rPr>
        <w:t>heques payable to “Loughton Town Council”.</w:t>
      </w:r>
      <w:r w:rsidR="00BB256A">
        <w:rPr>
          <w:sz w:val="22"/>
        </w:rPr>
        <w:t xml:space="preserve">  Chip and Pin payment facilities either in person or by telephone are also available.</w:t>
      </w:r>
    </w:p>
    <w:p w14:paraId="40F643EB" w14:textId="77777777" w:rsidR="00BB256A" w:rsidRDefault="00BB256A" w:rsidP="00836C2A">
      <w:pPr>
        <w:rPr>
          <w:sz w:val="22"/>
        </w:rPr>
      </w:pPr>
    </w:p>
    <w:p w14:paraId="42987612" w14:textId="77777777" w:rsidR="00836C2A" w:rsidRDefault="00836C2A" w:rsidP="00836C2A">
      <w:pPr>
        <w:rPr>
          <w:sz w:val="22"/>
        </w:rPr>
      </w:pPr>
      <w:r>
        <w:rPr>
          <w:sz w:val="22"/>
        </w:rPr>
        <w:t>See definition of “resident” below.</w:t>
      </w:r>
    </w:p>
    <w:p w14:paraId="6DF6795C" w14:textId="77777777" w:rsidR="00836C2A" w:rsidRDefault="00836C2A" w:rsidP="00836C2A">
      <w:pPr>
        <w:rPr>
          <w:sz w:val="22"/>
        </w:rPr>
      </w:pPr>
    </w:p>
    <w:p w14:paraId="239AC30C" w14:textId="77777777" w:rsidR="00836C2A" w:rsidRDefault="00836C2A" w:rsidP="00836C2A">
      <w:pPr>
        <w:rPr>
          <w:sz w:val="22"/>
        </w:rPr>
      </w:pPr>
      <w:r>
        <w:rPr>
          <w:sz w:val="22"/>
        </w:rPr>
        <w:t>Due to the limited space in the cemetery</w:t>
      </w:r>
      <w:r w:rsidR="00BB256A">
        <w:rPr>
          <w:sz w:val="22"/>
        </w:rPr>
        <w:t>,</w:t>
      </w:r>
      <w:r>
        <w:rPr>
          <w:sz w:val="22"/>
        </w:rPr>
        <w:t xml:space="preserve"> plots for </w:t>
      </w:r>
      <w:r w:rsidR="00BB256A">
        <w:rPr>
          <w:sz w:val="22"/>
        </w:rPr>
        <w:t xml:space="preserve">the </w:t>
      </w:r>
      <w:r>
        <w:rPr>
          <w:sz w:val="22"/>
        </w:rPr>
        <w:t>interments of cremated remains cannot be purchased for future use.</w:t>
      </w:r>
    </w:p>
    <w:p w14:paraId="03396A52" w14:textId="77777777" w:rsidR="00836C2A" w:rsidRDefault="00836C2A" w:rsidP="00836C2A">
      <w:pPr>
        <w:rPr>
          <w:sz w:val="22"/>
        </w:rPr>
      </w:pPr>
    </w:p>
    <w:p w14:paraId="4CB07FCA" w14:textId="77777777" w:rsidR="00836C2A" w:rsidRDefault="00836C2A" w:rsidP="00836C2A">
      <w:pPr>
        <w:jc w:val="both"/>
        <w:rPr>
          <w:sz w:val="22"/>
        </w:rPr>
      </w:pPr>
      <w:r>
        <w:rPr>
          <w:sz w:val="22"/>
        </w:rPr>
        <w:t xml:space="preserve">The </w:t>
      </w:r>
      <w:r>
        <w:rPr>
          <w:b/>
          <w:sz w:val="22"/>
        </w:rPr>
        <w:t>Loughton residents' rate</w:t>
      </w:r>
      <w:r>
        <w:rPr>
          <w:sz w:val="22"/>
        </w:rPr>
        <w:t xml:space="preserve"> for </w:t>
      </w:r>
      <w:r>
        <w:rPr>
          <w:b/>
          <w:sz w:val="22"/>
        </w:rPr>
        <w:t>purchases of exclusive rights, interments and memorial applications</w:t>
      </w:r>
      <w:r>
        <w:rPr>
          <w:sz w:val="22"/>
        </w:rPr>
        <w:t xml:space="preserve"> will apply where:</w:t>
      </w:r>
    </w:p>
    <w:p w14:paraId="2A234479" w14:textId="77777777" w:rsidR="00836C2A" w:rsidRDefault="00836C2A" w:rsidP="00836C2A">
      <w:pPr>
        <w:jc w:val="both"/>
        <w:rPr>
          <w:sz w:val="22"/>
        </w:rPr>
      </w:pPr>
    </w:p>
    <w:p w14:paraId="2606A981" w14:textId="77777777" w:rsidR="00836C2A" w:rsidRDefault="00836C2A" w:rsidP="00836C2A">
      <w:pPr>
        <w:jc w:val="both"/>
        <w:rPr>
          <w:sz w:val="22"/>
        </w:rPr>
      </w:pPr>
      <w:r>
        <w:rPr>
          <w:sz w:val="22"/>
        </w:rPr>
        <w:t>EITHER</w:t>
      </w:r>
    </w:p>
    <w:p w14:paraId="68A181A4" w14:textId="77777777" w:rsidR="00836C2A" w:rsidRDefault="00836C2A" w:rsidP="00836C2A">
      <w:pPr>
        <w:jc w:val="both"/>
        <w:rPr>
          <w:sz w:val="22"/>
        </w:rPr>
      </w:pPr>
    </w:p>
    <w:p w14:paraId="16F7713C" w14:textId="77777777" w:rsidR="00836C2A" w:rsidRDefault="00836C2A" w:rsidP="00836C2A">
      <w:pPr>
        <w:numPr>
          <w:ilvl w:val="0"/>
          <w:numId w:val="1"/>
        </w:numPr>
        <w:jc w:val="both"/>
        <w:rPr>
          <w:sz w:val="22"/>
        </w:rPr>
      </w:pPr>
      <w:r>
        <w:rPr>
          <w:sz w:val="22"/>
        </w:rPr>
        <w:t>At the time of death the deceased was resident in the administrative parish of Loughton</w:t>
      </w:r>
    </w:p>
    <w:p w14:paraId="2DBFB98E" w14:textId="77777777" w:rsidR="00836C2A" w:rsidRDefault="00836C2A" w:rsidP="00836C2A">
      <w:pPr>
        <w:jc w:val="both"/>
        <w:rPr>
          <w:sz w:val="22"/>
        </w:rPr>
      </w:pPr>
    </w:p>
    <w:p w14:paraId="2F3E3D40" w14:textId="77777777" w:rsidR="00836C2A" w:rsidRDefault="00836C2A" w:rsidP="00836C2A">
      <w:pPr>
        <w:jc w:val="both"/>
        <w:rPr>
          <w:sz w:val="22"/>
        </w:rPr>
      </w:pPr>
      <w:r>
        <w:rPr>
          <w:sz w:val="22"/>
        </w:rPr>
        <w:t>OR</w:t>
      </w:r>
    </w:p>
    <w:p w14:paraId="01C090BA" w14:textId="77777777" w:rsidR="00836C2A" w:rsidRDefault="00836C2A" w:rsidP="00836C2A">
      <w:pPr>
        <w:jc w:val="both"/>
        <w:rPr>
          <w:sz w:val="22"/>
        </w:rPr>
      </w:pPr>
    </w:p>
    <w:p w14:paraId="537CE631" w14:textId="77777777" w:rsidR="00836C2A" w:rsidRDefault="00836C2A" w:rsidP="00836C2A">
      <w:pPr>
        <w:numPr>
          <w:ilvl w:val="0"/>
          <w:numId w:val="1"/>
        </w:numPr>
        <w:jc w:val="both"/>
        <w:rPr>
          <w:sz w:val="22"/>
        </w:rPr>
      </w:pPr>
      <w:r>
        <w:rPr>
          <w:sz w:val="22"/>
        </w:rPr>
        <w:t>The person owning or purchasing the burial rights is resident in the administrative parish of Loughton</w:t>
      </w:r>
    </w:p>
    <w:p w14:paraId="7997CF99" w14:textId="77777777" w:rsidR="00836C2A" w:rsidRDefault="00836C2A" w:rsidP="00836C2A">
      <w:pPr>
        <w:jc w:val="both"/>
        <w:rPr>
          <w:sz w:val="22"/>
        </w:rPr>
      </w:pPr>
    </w:p>
    <w:p w14:paraId="500423B5" w14:textId="77777777" w:rsidR="00836C2A" w:rsidRDefault="00836C2A" w:rsidP="00836C2A">
      <w:pPr>
        <w:jc w:val="both"/>
        <w:rPr>
          <w:sz w:val="22"/>
        </w:rPr>
      </w:pPr>
      <w:r>
        <w:rPr>
          <w:sz w:val="22"/>
        </w:rPr>
        <w:t>OR</w:t>
      </w:r>
    </w:p>
    <w:p w14:paraId="49DAABCC" w14:textId="77777777" w:rsidR="00836C2A" w:rsidRDefault="00836C2A" w:rsidP="00836C2A">
      <w:pPr>
        <w:jc w:val="both"/>
        <w:rPr>
          <w:sz w:val="22"/>
        </w:rPr>
      </w:pPr>
    </w:p>
    <w:p w14:paraId="64FD912A" w14:textId="77777777" w:rsidR="00836C2A" w:rsidRDefault="00836C2A" w:rsidP="00836C2A">
      <w:pPr>
        <w:numPr>
          <w:ilvl w:val="0"/>
          <w:numId w:val="1"/>
        </w:numPr>
        <w:jc w:val="both"/>
        <w:rPr>
          <w:sz w:val="22"/>
        </w:rPr>
      </w:pPr>
      <w:r>
        <w:rPr>
          <w:sz w:val="22"/>
        </w:rPr>
        <w:t>In the case of a stillborn child, either parent is resident in the administrative parish of Loughton</w:t>
      </w:r>
    </w:p>
    <w:p w14:paraId="6EB6F336" w14:textId="77777777" w:rsidR="00836C2A" w:rsidRDefault="00836C2A" w:rsidP="00836C2A">
      <w:pPr>
        <w:jc w:val="both"/>
        <w:rPr>
          <w:sz w:val="22"/>
        </w:rPr>
      </w:pPr>
    </w:p>
    <w:p w14:paraId="7B9D6197" w14:textId="77777777" w:rsidR="00836C2A" w:rsidRDefault="00836C2A" w:rsidP="00836C2A">
      <w:pPr>
        <w:pStyle w:val="Heading1"/>
        <w:rPr>
          <w:rFonts w:ascii="Arial" w:hAnsi="Arial"/>
          <w:sz w:val="22"/>
        </w:rPr>
      </w:pPr>
      <w:r>
        <w:rPr>
          <w:rFonts w:ascii="Arial" w:hAnsi="Arial"/>
          <w:sz w:val="22"/>
        </w:rPr>
        <w:t>OR</w:t>
      </w:r>
    </w:p>
    <w:p w14:paraId="5FB5CB2D" w14:textId="77777777" w:rsidR="00836C2A" w:rsidRDefault="00836C2A" w:rsidP="00836C2A">
      <w:pPr>
        <w:jc w:val="both"/>
        <w:rPr>
          <w:sz w:val="22"/>
        </w:rPr>
      </w:pPr>
    </w:p>
    <w:p w14:paraId="5C4057C9" w14:textId="77777777" w:rsidR="00836C2A" w:rsidRDefault="00836C2A" w:rsidP="00836C2A">
      <w:pPr>
        <w:numPr>
          <w:ilvl w:val="0"/>
          <w:numId w:val="1"/>
        </w:numPr>
        <w:jc w:val="both"/>
        <w:rPr>
          <w:sz w:val="22"/>
        </w:rPr>
      </w:pPr>
      <w:r>
        <w:rPr>
          <w:sz w:val="22"/>
        </w:rPr>
        <w:t>The deceased was resident in the administrative parish of Loughton for five or more years but became non-resident involuntarily (for instance to receive residential care in another area) during the period immediately prior to the date of death or had lived in Loughton for at least twenty years.</w:t>
      </w:r>
    </w:p>
    <w:p w14:paraId="2B749D14" w14:textId="77777777" w:rsidR="00836C2A" w:rsidRDefault="00836C2A" w:rsidP="00836C2A">
      <w:pPr>
        <w:jc w:val="both"/>
        <w:rPr>
          <w:sz w:val="22"/>
        </w:rPr>
      </w:pPr>
    </w:p>
    <w:p w14:paraId="33BAC0B0" w14:textId="77777777" w:rsidR="00BB256A" w:rsidRDefault="00BB256A" w:rsidP="00836C2A">
      <w:pPr>
        <w:jc w:val="both"/>
        <w:rPr>
          <w:sz w:val="22"/>
        </w:rPr>
      </w:pPr>
    </w:p>
    <w:p w14:paraId="1E7EF12A" w14:textId="77777777" w:rsidR="00836C2A" w:rsidRDefault="00836C2A" w:rsidP="00836C2A">
      <w:pPr>
        <w:jc w:val="both"/>
        <w:rPr>
          <w:sz w:val="22"/>
        </w:rPr>
      </w:pPr>
      <w:r>
        <w:rPr>
          <w:sz w:val="22"/>
        </w:rPr>
        <w:t xml:space="preserve">For </w:t>
      </w:r>
      <w:r>
        <w:rPr>
          <w:b/>
          <w:sz w:val="22"/>
        </w:rPr>
        <w:t xml:space="preserve">transfers and assignments, </w:t>
      </w:r>
      <w:r>
        <w:rPr>
          <w:sz w:val="22"/>
        </w:rPr>
        <w:t>the residents' rate will</w:t>
      </w:r>
      <w:r>
        <w:rPr>
          <w:b/>
          <w:sz w:val="22"/>
        </w:rPr>
        <w:t xml:space="preserve"> </w:t>
      </w:r>
      <w:r>
        <w:rPr>
          <w:sz w:val="22"/>
        </w:rPr>
        <w:t>only apply where both the transferor/assignor and the transferee/assignee are resident in the administrative parish of Loughton.</w:t>
      </w:r>
    </w:p>
    <w:p w14:paraId="06F687D7" w14:textId="77777777" w:rsidR="00836C2A" w:rsidRDefault="00836C2A" w:rsidP="00836C2A">
      <w:pPr>
        <w:jc w:val="both"/>
        <w:rPr>
          <w:sz w:val="22"/>
        </w:rPr>
      </w:pPr>
    </w:p>
    <w:p w14:paraId="3AC603B2" w14:textId="77777777" w:rsidR="00836C2A" w:rsidRDefault="00836C2A" w:rsidP="00836C2A">
      <w:pPr>
        <w:jc w:val="both"/>
        <w:rPr>
          <w:sz w:val="22"/>
        </w:rPr>
      </w:pPr>
    </w:p>
    <w:p w14:paraId="59888D2B" w14:textId="77777777" w:rsidR="00836C2A" w:rsidRDefault="00836C2A" w:rsidP="00836C2A">
      <w:pPr>
        <w:jc w:val="both"/>
        <w:rPr>
          <w:sz w:val="22"/>
        </w:rPr>
      </w:pPr>
      <w:r>
        <w:rPr>
          <w:sz w:val="22"/>
        </w:rPr>
        <w:t xml:space="preserve">The </w:t>
      </w:r>
      <w:r>
        <w:rPr>
          <w:b/>
          <w:sz w:val="22"/>
        </w:rPr>
        <w:t>Buckhurst Hill and Chigwell residents' rate</w:t>
      </w:r>
      <w:r>
        <w:rPr>
          <w:sz w:val="22"/>
        </w:rPr>
        <w:t xml:space="preserve"> will apply where the criteria listed above are satisfied in respect of residence by substituting "Buckhurst Hill or </w:t>
      </w:r>
      <w:smartTag w:uri="urn:schemas-microsoft-com:office:smarttags" w:element="place">
        <w:r>
          <w:rPr>
            <w:sz w:val="22"/>
          </w:rPr>
          <w:t>Chigwell</w:t>
        </w:r>
      </w:smartTag>
      <w:r>
        <w:rPr>
          <w:sz w:val="22"/>
        </w:rPr>
        <w:t>" for "Loughton"</w:t>
      </w:r>
    </w:p>
    <w:p w14:paraId="669C8BBA" w14:textId="77777777" w:rsidR="00836C2A" w:rsidRDefault="00836C2A" w:rsidP="00836C2A">
      <w:pPr>
        <w:jc w:val="both"/>
        <w:rPr>
          <w:sz w:val="22"/>
        </w:rPr>
      </w:pPr>
      <w:r>
        <w:rPr>
          <w:sz w:val="22"/>
        </w:rPr>
        <w:t xml:space="preserve">EXCEPT THAT </w:t>
      </w:r>
    </w:p>
    <w:p w14:paraId="1EA947FF" w14:textId="77777777" w:rsidR="001C1DF1" w:rsidRDefault="00836C2A" w:rsidP="00BB256A">
      <w:pPr>
        <w:jc w:val="both"/>
        <w:rPr>
          <w:sz w:val="22"/>
        </w:rPr>
      </w:pPr>
      <w:r>
        <w:rPr>
          <w:sz w:val="22"/>
        </w:rPr>
        <w:t xml:space="preserve">where the person owning the burial rights was, at the time of a purchase effected </w:t>
      </w:r>
      <w:r>
        <w:rPr>
          <w:b/>
          <w:sz w:val="22"/>
        </w:rPr>
        <w:t>before 1</w:t>
      </w:r>
      <w:r>
        <w:rPr>
          <w:b/>
          <w:sz w:val="22"/>
          <w:vertAlign w:val="superscript"/>
        </w:rPr>
        <w:t>st</w:t>
      </w:r>
      <w:r>
        <w:rPr>
          <w:b/>
          <w:sz w:val="22"/>
        </w:rPr>
        <w:t xml:space="preserve"> October 1997, </w:t>
      </w:r>
      <w:r>
        <w:rPr>
          <w:sz w:val="22"/>
        </w:rPr>
        <w:t>resident in the administrative parishes of Buckhurst Hill or Chigwell and is</w:t>
      </w:r>
      <w:r>
        <w:rPr>
          <w:b/>
          <w:sz w:val="22"/>
        </w:rPr>
        <w:t xml:space="preserve"> </w:t>
      </w:r>
      <w:r>
        <w:rPr>
          <w:sz w:val="22"/>
          <w:u w:val="single"/>
        </w:rPr>
        <w:t>still</w:t>
      </w:r>
      <w:r>
        <w:rPr>
          <w:sz w:val="22"/>
        </w:rPr>
        <w:t xml:space="preserve"> resident in either of those two parishes or meets the criterion specified in (4) above, the fees will apply as for Loughton residents.  The rate will only apply to fees in respect of that grave space or spaces, and will not apply to any purchase taking place on or after 1</w:t>
      </w:r>
      <w:r>
        <w:rPr>
          <w:sz w:val="22"/>
          <w:vertAlign w:val="superscript"/>
        </w:rPr>
        <w:t>st</w:t>
      </w:r>
      <w:r>
        <w:rPr>
          <w:sz w:val="22"/>
        </w:rPr>
        <w:t xml:space="preserve"> October 1997.</w:t>
      </w:r>
    </w:p>
    <w:p w14:paraId="5F3BCAEA" w14:textId="77777777" w:rsidR="00BB256A" w:rsidRDefault="00BB256A" w:rsidP="00BB256A">
      <w:pPr>
        <w:jc w:val="both"/>
        <w:rPr>
          <w:sz w:val="22"/>
        </w:rPr>
      </w:pPr>
    </w:p>
    <w:p w14:paraId="13E46594" w14:textId="77777777" w:rsidR="00BB256A" w:rsidRPr="00BB256A" w:rsidRDefault="00BB256A" w:rsidP="00BB256A">
      <w:pPr>
        <w:jc w:val="center"/>
        <w:rPr>
          <w:b/>
          <w:sz w:val="22"/>
        </w:rPr>
      </w:pPr>
      <w:r w:rsidRPr="00BB256A">
        <w:rPr>
          <w:b/>
          <w:sz w:val="22"/>
        </w:rPr>
        <w:t>Loughton Town Council</w:t>
      </w:r>
    </w:p>
    <w:p w14:paraId="3C1987D4" w14:textId="77777777" w:rsidR="004603CA" w:rsidRDefault="004603CA" w:rsidP="00BB256A">
      <w:pPr>
        <w:jc w:val="center"/>
        <w:rPr>
          <w:b/>
          <w:sz w:val="22"/>
        </w:rPr>
      </w:pPr>
      <w:r>
        <w:rPr>
          <w:b/>
          <w:sz w:val="22"/>
        </w:rPr>
        <w:t>Loughton Library and Town Hall, Traps Hill,</w:t>
      </w:r>
    </w:p>
    <w:p w14:paraId="3A7C982C" w14:textId="77777777" w:rsidR="004603CA" w:rsidRDefault="004603CA" w:rsidP="00BB256A">
      <w:pPr>
        <w:jc w:val="center"/>
        <w:rPr>
          <w:b/>
          <w:sz w:val="22"/>
        </w:rPr>
      </w:pPr>
      <w:r>
        <w:rPr>
          <w:b/>
          <w:sz w:val="22"/>
        </w:rPr>
        <w:t>Loughton IG10 1HD</w:t>
      </w:r>
    </w:p>
    <w:p w14:paraId="58E6A6C0" w14:textId="77777777" w:rsidR="00BB256A" w:rsidRPr="00BB256A" w:rsidRDefault="00BB256A" w:rsidP="00BB256A">
      <w:pPr>
        <w:jc w:val="center"/>
        <w:rPr>
          <w:b/>
          <w:sz w:val="22"/>
        </w:rPr>
      </w:pPr>
      <w:r w:rsidRPr="00BB256A">
        <w:rPr>
          <w:b/>
          <w:sz w:val="22"/>
        </w:rPr>
        <w:t xml:space="preserve">020 8508 4200   </w:t>
      </w:r>
      <w:hyperlink r:id="rId8" w:history="1">
        <w:r w:rsidRPr="00BB256A">
          <w:rPr>
            <w:rStyle w:val="Hyperlink"/>
            <w:b/>
            <w:sz w:val="22"/>
          </w:rPr>
          <w:t>contact@loughton-tc.gov.uk</w:t>
        </w:r>
      </w:hyperlink>
    </w:p>
    <w:sectPr w:rsidR="00BB256A" w:rsidRPr="00BB256A">
      <w:headerReference w:type="even" r:id="rId9"/>
      <w:headerReference w:type="default" r:id="rId10"/>
      <w:footerReference w:type="even" r:id="rId11"/>
      <w:footerReference w:type="default" r:id="rId12"/>
      <w:headerReference w:type="first" r:id="rId13"/>
      <w:footerReference w:type="first" r:id="rId14"/>
      <w:pgSz w:w="11906" w:h="16838"/>
      <w:pgMar w:top="619" w:right="850" w:bottom="619" w:left="113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186DF" w14:textId="77777777" w:rsidR="00C97DB1" w:rsidRDefault="00C97DB1" w:rsidP="00384C1B">
      <w:pPr>
        <w:pStyle w:val="Header"/>
      </w:pPr>
      <w:r>
        <w:separator/>
      </w:r>
    </w:p>
  </w:endnote>
  <w:endnote w:type="continuationSeparator" w:id="0">
    <w:p w14:paraId="72B4A915" w14:textId="77777777" w:rsidR="00C97DB1" w:rsidRDefault="00C97DB1" w:rsidP="00384C1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8C2F0" w14:textId="77777777" w:rsidR="00EB52BF" w:rsidRDefault="00EB5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C51B" w14:textId="77777777" w:rsidR="005354CF" w:rsidRPr="00EB52BF" w:rsidRDefault="005354CF" w:rsidP="00EB52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D9D32" w14:textId="77777777" w:rsidR="00EB52BF" w:rsidRDefault="00EB5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B8C69" w14:textId="77777777" w:rsidR="00C97DB1" w:rsidRDefault="00C97DB1" w:rsidP="00384C1B">
      <w:pPr>
        <w:pStyle w:val="Header"/>
      </w:pPr>
      <w:r>
        <w:separator/>
      </w:r>
    </w:p>
  </w:footnote>
  <w:footnote w:type="continuationSeparator" w:id="0">
    <w:p w14:paraId="77A76A2D" w14:textId="77777777" w:rsidR="00C97DB1" w:rsidRDefault="00C97DB1" w:rsidP="00384C1B">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75A56" w14:textId="77777777" w:rsidR="00EB52BF" w:rsidRDefault="00EB5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23EFA" w14:textId="77777777" w:rsidR="00EB52BF" w:rsidRDefault="00EB52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90E5E" w14:textId="77777777" w:rsidR="00EB52BF" w:rsidRDefault="00EB5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36704"/>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2A"/>
    <w:rsid w:val="00004A16"/>
    <w:rsid w:val="00011486"/>
    <w:rsid w:val="00033375"/>
    <w:rsid w:val="000864FD"/>
    <w:rsid w:val="00087966"/>
    <w:rsid w:val="00090085"/>
    <w:rsid w:val="000C16EE"/>
    <w:rsid w:val="000E4915"/>
    <w:rsid w:val="001534A0"/>
    <w:rsid w:val="00171162"/>
    <w:rsid w:val="001C1DF1"/>
    <w:rsid w:val="001D5ED6"/>
    <w:rsid w:val="001F5D4C"/>
    <w:rsid w:val="00246988"/>
    <w:rsid w:val="00280634"/>
    <w:rsid w:val="002827A3"/>
    <w:rsid w:val="00286438"/>
    <w:rsid w:val="002D3514"/>
    <w:rsid w:val="00307E52"/>
    <w:rsid w:val="00343ACD"/>
    <w:rsid w:val="00363DFC"/>
    <w:rsid w:val="003660FC"/>
    <w:rsid w:val="00384C1B"/>
    <w:rsid w:val="003B6920"/>
    <w:rsid w:val="003F581A"/>
    <w:rsid w:val="004603CA"/>
    <w:rsid w:val="00461BCD"/>
    <w:rsid w:val="00482ED2"/>
    <w:rsid w:val="00494586"/>
    <w:rsid w:val="004B073A"/>
    <w:rsid w:val="005354CF"/>
    <w:rsid w:val="00562C19"/>
    <w:rsid w:val="0056642A"/>
    <w:rsid w:val="005A15FA"/>
    <w:rsid w:val="0061460C"/>
    <w:rsid w:val="00645208"/>
    <w:rsid w:val="00652A0A"/>
    <w:rsid w:val="006954F3"/>
    <w:rsid w:val="006C3524"/>
    <w:rsid w:val="006F012B"/>
    <w:rsid w:val="006F5985"/>
    <w:rsid w:val="006F628F"/>
    <w:rsid w:val="00702402"/>
    <w:rsid w:val="007121E5"/>
    <w:rsid w:val="007204A8"/>
    <w:rsid w:val="00750662"/>
    <w:rsid w:val="007F3058"/>
    <w:rsid w:val="00836C2A"/>
    <w:rsid w:val="009370C9"/>
    <w:rsid w:val="0095456E"/>
    <w:rsid w:val="0096122B"/>
    <w:rsid w:val="009803A9"/>
    <w:rsid w:val="00993B26"/>
    <w:rsid w:val="00A6031C"/>
    <w:rsid w:val="00A66846"/>
    <w:rsid w:val="00A97C34"/>
    <w:rsid w:val="00AC6EEA"/>
    <w:rsid w:val="00AF7B20"/>
    <w:rsid w:val="00B15015"/>
    <w:rsid w:val="00B309AD"/>
    <w:rsid w:val="00B5528C"/>
    <w:rsid w:val="00B83165"/>
    <w:rsid w:val="00BA005C"/>
    <w:rsid w:val="00BB256A"/>
    <w:rsid w:val="00BB5F4A"/>
    <w:rsid w:val="00BC2264"/>
    <w:rsid w:val="00BF65AE"/>
    <w:rsid w:val="00C0591D"/>
    <w:rsid w:val="00C2139B"/>
    <w:rsid w:val="00C570C7"/>
    <w:rsid w:val="00C97DB1"/>
    <w:rsid w:val="00CB44A2"/>
    <w:rsid w:val="00CC0A43"/>
    <w:rsid w:val="00CF4F8C"/>
    <w:rsid w:val="00D61DB1"/>
    <w:rsid w:val="00D743FD"/>
    <w:rsid w:val="00DB36D3"/>
    <w:rsid w:val="00DE6EA9"/>
    <w:rsid w:val="00DF4918"/>
    <w:rsid w:val="00DF4A17"/>
    <w:rsid w:val="00E05504"/>
    <w:rsid w:val="00E1069C"/>
    <w:rsid w:val="00E50F0A"/>
    <w:rsid w:val="00EB52BF"/>
    <w:rsid w:val="00EF3690"/>
    <w:rsid w:val="00F41950"/>
    <w:rsid w:val="00F611D2"/>
    <w:rsid w:val="00F954C2"/>
    <w:rsid w:val="00FA4CB6"/>
    <w:rsid w:val="00FF3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D7B6619"/>
  <w15:docId w15:val="{FD90A043-9B03-41FF-B702-06FDA943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6C2A"/>
    <w:rPr>
      <w:rFonts w:ascii="Arial" w:hAnsi="Arial"/>
      <w:sz w:val="24"/>
    </w:rPr>
  </w:style>
  <w:style w:type="paragraph" w:styleId="Heading1">
    <w:name w:val="heading 1"/>
    <w:basedOn w:val="Normal"/>
    <w:next w:val="Normal"/>
    <w:qFormat/>
    <w:rsid w:val="00836C2A"/>
    <w:pPr>
      <w:keepNext/>
      <w:jc w:val="both"/>
      <w:outlineLvl w:val="0"/>
    </w:pPr>
    <w:rPr>
      <w:rFonts w:ascii="Times New Roman" w:hAnsi="Times New Roman"/>
    </w:rPr>
  </w:style>
  <w:style w:type="paragraph" w:styleId="Heading2">
    <w:name w:val="heading 2"/>
    <w:basedOn w:val="Normal"/>
    <w:next w:val="Normal"/>
    <w:qFormat/>
    <w:rsid w:val="00836C2A"/>
    <w:pPr>
      <w:keepNext/>
      <w:ind w:left="720" w:hanging="720"/>
      <w:outlineLvl w:val="1"/>
    </w:pPr>
    <w:rPr>
      <w:rFonts w:ascii="Times New Roman" w:hAnsi="Times New Roman"/>
      <w:b/>
    </w:rPr>
  </w:style>
  <w:style w:type="paragraph" w:styleId="Heading3">
    <w:name w:val="heading 3"/>
    <w:basedOn w:val="Normal"/>
    <w:next w:val="Normal"/>
    <w:qFormat/>
    <w:rsid w:val="00836C2A"/>
    <w:pPr>
      <w:keepNext/>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6C2A"/>
    <w:pPr>
      <w:tabs>
        <w:tab w:val="center" w:pos="4153"/>
        <w:tab w:val="right" w:pos="8306"/>
      </w:tabs>
    </w:pPr>
    <w:rPr>
      <w:rFonts w:ascii="Times New Roman" w:hAnsi="Times New Roman"/>
    </w:rPr>
  </w:style>
  <w:style w:type="paragraph" w:styleId="Header">
    <w:name w:val="header"/>
    <w:basedOn w:val="Normal"/>
    <w:rsid w:val="00DB36D3"/>
    <w:pPr>
      <w:tabs>
        <w:tab w:val="center" w:pos="4153"/>
        <w:tab w:val="right" w:pos="8306"/>
      </w:tabs>
    </w:pPr>
  </w:style>
  <w:style w:type="paragraph" w:styleId="BalloonText">
    <w:name w:val="Balloon Text"/>
    <w:basedOn w:val="Normal"/>
    <w:semiHidden/>
    <w:rsid w:val="00BC2264"/>
    <w:rPr>
      <w:rFonts w:ascii="Tahoma" w:hAnsi="Tahoma" w:cs="Tahoma"/>
      <w:sz w:val="16"/>
      <w:szCs w:val="16"/>
    </w:rPr>
  </w:style>
  <w:style w:type="character" w:styleId="Hyperlink">
    <w:name w:val="Hyperlink"/>
    <w:rsid w:val="00BB2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loughton-tc.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3B1F5-8358-42FE-967A-03A1F65B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708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4570</CharactersWithSpaces>
  <SharedDoc>false</SharedDoc>
  <HLinks>
    <vt:vector size="6" baseType="variant">
      <vt:variant>
        <vt:i4>5111931</vt:i4>
      </vt:variant>
      <vt:variant>
        <vt:i4>0</vt:i4>
      </vt:variant>
      <vt:variant>
        <vt:i4>0</vt:i4>
      </vt:variant>
      <vt:variant>
        <vt:i4>5</vt:i4>
      </vt:variant>
      <vt:variant>
        <vt:lpwstr>mailto:contact@loughton-tc.gov.uk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Joan.Innis</dc:creator>
  <cp:lastModifiedBy>Judy Graham</cp:lastModifiedBy>
  <cp:revision>7</cp:revision>
  <cp:lastPrinted>2021-02-16T11:25:00Z</cp:lastPrinted>
  <dcterms:created xsi:type="dcterms:W3CDTF">2021-02-08T09:58:00Z</dcterms:created>
  <dcterms:modified xsi:type="dcterms:W3CDTF">2021-02-23T12:15:00Z</dcterms:modified>
</cp:coreProperties>
</file>